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p>
    <w:p>
      <w:pPr>
        <w:spacing w:line="600" w:lineRule="exact"/>
        <w:jc w:val="center"/>
        <w:rPr>
          <w:rFonts w:hint="eastAsia" w:ascii="方正小标宋简体" w:hAnsi="宋体" w:eastAsia="方正小标宋简体"/>
          <w:color w:val="000000"/>
          <w:sz w:val="56"/>
          <w:szCs w:val="56"/>
        </w:rPr>
      </w:pPr>
      <w:bookmarkStart w:id="0" w:name="_Toc15377194"/>
      <w:bookmarkStart w:id="1" w:name="_Toc15377426"/>
      <w:bookmarkStart w:id="2" w:name="_Toc15396598"/>
      <w:bookmarkStart w:id="3" w:name="_Toc15396476"/>
      <w:bookmarkStart w:id="4" w:name="_Toc15378442"/>
      <w:r>
        <w:rPr>
          <w:rFonts w:hint="eastAsia" w:ascii="方正小标宋简体" w:hAnsi="宋体" w:eastAsia="方正小标宋简体"/>
          <w:color w:val="000000"/>
          <w:sz w:val="56"/>
          <w:szCs w:val="56"/>
        </w:rPr>
        <w:t>四川巴中经济开发区白塔小学</w:t>
      </w:r>
    </w:p>
    <w:p>
      <w:pPr>
        <w:adjustRightInd w:val="0"/>
        <w:snapToGrid w:val="0"/>
        <w:spacing w:line="360" w:lineRule="auto"/>
        <w:jc w:val="center"/>
        <w:outlineLvl w:val="0"/>
        <w:rPr>
          <w:rFonts w:ascii="方正小标宋简体" w:hAnsi="宋体" w:eastAsia="方正小标宋简体"/>
          <w:color w:val="000000"/>
          <w:sz w:val="56"/>
          <w:szCs w:val="56"/>
        </w:rPr>
      </w:pPr>
      <w:bookmarkStart w:id="5" w:name="_Toc15306268"/>
      <w:r>
        <w:rPr>
          <w:rFonts w:hint="eastAsia" w:ascii="方正小标宋简体" w:hAnsi="宋体" w:eastAsia="方正小标宋简体"/>
          <w:color w:val="000000"/>
          <w:sz w:val="56"/>
          <w:szCs w:val="56"/>
        </w:rPr>
        <w:t>部门决算</w:t>
      </w:r>
      <w:bookmarkEnd w:id="0"/>
      <w:bookmarkEnd w:id="1"/>
      <w:bookmarkEnd w:id="2"/>
      <w:bookmarkEnd w:id="3"/>
      <w:bookmarkEnd w:id="4"/>
      <w:bookmarkEnd w:id="5"/>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ind w:firstLine="640" w:firstLineChars="200"/>
        <w:rPr>
          <w:rFonts w:hint="eastAsia" w:ascii="黑体" w:eastAsia="黑体"/>
          <w:color w:val="000000"/>
          <w:sz w:val="32"/>
          <w:szCs w:val="32"/>
        </w:rPr>
      </w:pPr>
    </w:p>
    <w:p>
      <w:pPr>
        <w:spacing w:line="600" w:lineRule="exact"/>
        <w:rPr>
          <w:rFonts w:hint="eastAsia" w:ascii="黑体" w:eastAsia="黑体"/>
          <w:color w:val="000000"/>
          <w:sz w:val="32"/>
          <w:szCs w:val="32"/>
        </w:rPr>
      </w:pP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7"/>
        <w:ind w:firstLine="2520" w:firstLineChars="900"/>
        <w:jc w:val="both"/>
      </w:pPr>
      <w:r>
        <w:rPr>
          <w:rFonts w:hint="eastAsia"/>
        </w:rPr>
        <w:t>公开时间：</w:t>
      </w:r>
      <w:r>
        <w:t>2021</w:t>
      </w:r>
      <w:r>
        <w:rPr>
          <w:rFonts w:hint="eastAsia"/>
        </w:rPr>
        <w:t>年</w:t>
      </w:r>
      <w:r>
        <w:rPr>
          <w:rFonts w:hint="eastAsia"/>
          <w:lang w:val="en-US" w:eastAsia="zh-CN"/>
        </w:rPr>
        <w:t>9</w:t>
      </w:r>
      <w:r>
        <w:rPr>
          <w:rFonts w:hint="eastAsia"/>
        </w:rPr>
        <w:t>月</w:t>
      </w:r>
      <w:r>
        <w:rPr>
          <w:rFonts w:hint="eastAsia"/>
          <w:lang w:val="en-US" w:eastAsia="zh-CN"/>
        </w:rPr>
        <w:t>15</w:t>
      </w:r>
      <w:r>
        <w:rPr>
          <w:rFonts w:hint="eastAsia"/>
        </w:rPr>
        <w:t>日</w:t>
      </w:r>
    </w:p>
    <w:p/>
    <w:p>
      <w:pPr>
        <w:pStyle w:val="7"/>
        <w:adjustRightInd w:val="0"/>
        <w:snapToGrid w:val="0"/>
        <w:spacing w:before="0" w:line="440" w:lineRule="exact"/>
        <w:jc w:val="left"/>
        <w:rPr>
          <w:rFonts w:hint="default" w:eastAsia="仿宋"/>
          <w:sz w:val="32"/>
          <w:szCs w:val="32"/>
          <w:lang w:val="en-US" w:eastAsia="zh-CN"/>
        </w:rPr>
      </w:pPr>
      <w:r>
        <w:rPr>
          <w:rFonts w:hint="eastAsia"/>
          <w:sz w:val="32"/>
          <w:szCs w:val="36"/>
        </w:rPr>
        <w:t>第一部分</w:t>
      </w:r>
      <w:r>
        <w:rPr>
          <w:sz w:val="32"/>
          <w:szCs w:val="36"/>
        </w:rPr>
        <w:t xml:space="preserve"> </w:t>
      </w:r>
      <w:r>
        <w:rPr>
          <w:rFonts w:hint="eastAsia"/>
          <w:sz w:val="32"/>
          <w:szCs w:val="36"/>
        </w:rPr>
        <w:t>部门概况</w:t>
      </w:r>
      <w:r>
        <w:rPr>
          <w:rFonts w:hint="eastAsia"/>
          <w:sz w:val="32"/>
          <w:szCs w:val="36"/>
          <w:lang w:val="en-US" w:eastAsia="zh-CN"/>
        </w:rPr>
        <w:t xml:space="preserve"> </w:t>
      </w:r>
      <w:r>
        <w:rPr>
          <w:rFonts w:hint="default" w:ascii="仿宋" w:hAnsi="仿宋" w:eastAsia="仿宋" w:cs="Times New Roman"/>
          <w:kern w:val="2"/>
          <w:sz w:val="28"/>
          <w:szCs w:val="28"/>
          <w:lang w:val="en-US" w:eastAsia="zh-CN" w:bidi="ar-SA"/>
        </w:rPr>
        <w:t>…………………………………………</w:t>
      </w:r>
      <w:r>
        <w:rPr>
          <w:rFonts w:hint="default" w:ascii="仿宋" w:hAnsi="仿宋" w:eastAsia="仿宋"/>
          <w:sz w:val="28"/>
          <w:szCs w:val="28"/>
          <w:lang w:val="en-US" w:eastAsia="zh-CN"/>
        </w:rPr>
        <w:t>…</w:t>
      </w:r>
      <w:r>
        <w:rPr>
          <w:rFonts w:hint="eastAsia" w:ascii="宋体" w:hAnsi="宋体" w:eastAsia="宋体" w:cs="宋体"/>
          <w:sz w:val="32"/>
          <w:szCs w:val="36"/>
          <w:lang w:val="en-US" w:eastAsia="zh-CN"/>
        </w:rPr>
        <w:t xml:space="preserve">4 </w:t>
      </w:r>
      <w:r>
        <w:rPr>
          <w:rFonts w:hint="eastAsia"/>
          <w:sz w:val="32"/>
          <w:szCs w:val="36"/>
          <w:lang w:val="en-US" w:eastAsia="zh-CN"/>
        </w:rPr>
        <w:t xml:space="preserve">  </w:t>
      </w:r>
    </w:p>
    <w:p>
      <w:pPr>
        <w:pStyle w:val="8"/>
        <w:adjustRightInd w:val="0"/>
        <w:snapToGrid w:val="0"/>
        <w:spacing w:line="440" w:lineRule="exact"/>
        <w:jc w:val="left"/>
        <w:rPr>
          <w:rFonts w:hint="eastAsia" w:ascii="仿宋" w:hAnsi="仿宋" w:eastAsia="仿宋"/>
          <w:sz w:val="28"/>
          <w:szCs w:val="28"/>
          <w:lang w:val="en-US" w:eastAsia="zh-CN"/>
        </w:rPr>
      </w:pPr>
      <w:r>
        <w:rPr>
          <w:rFonts w:hint="eastAsia" w:ascii="仿宋" w:hAnsi="仿宋" w:eastAsia="仿宋"/>
          <w:sz w:val="28"/>
          <w:szCs w:val="28"/>
        </w:rPr>
        <w:t>一、基本职能及主要工作</w:t>
      </w:r>
      <w:r>
        <w:rPr>
          <w:rFonts w:hint="default" w:ascii="仿宋" w:hAnsi="仿宋" w:eastAsia="仿宋"/>
          <w:sz w:val="28"/>
          <w:szCs w:val="28"/>
          <w:lang w:val="en-US" w:eastAsia="zh-CN"/>
        </w:rPr>
        <w:t>………………………………………</w:t>
      </w:r>
      <w:r>
        <w:rPr>
          <w:rFonts w:hint="eastAsia" w:ascii="仿宋" w:hAnsi="仿宋" w:eastAsia="仿宋"/>
          <w:sz w:val="28"/>
          <w:szCs w:val="28"/>
          <w:lang w:val="en-US" w:eastAsia="zh-CN"/>
        </w:rPr>
        <w:t>4</w:t>
      </w:r>
    </w:p>
    <w:p>
      <w:pPr>
        <w:pStyle w:val="8"/>
        <w:adjustRightInd w:val="0"/>
        <w:snapToGrid w:val="0"/>
        <w:spacing w:line="440" w:lineRule="exact"/>
        <w:jc w:val="left"/>
        <w:rPr>
          <w:rFonts w:hint="default" w:ascii="仿宋" w:hAnsi="仿宋" w:eastAsia="仿宋"/>
          <w:sz w:val="24"/>
          <w:lang w:val="en-US"/>
        </w:rPr>
      </w:pPr>
      <w:r>
        <w:rPr>
          <w:rFonts w:hint="eastAsia" w:ascii="仿宋" w:hAnsi="仿宋" w:eastAsia="仿宋" w:cs="Times New Roman"/>
          <w:kern w:val="2"/>
          <w:sz w:val="28"/>
          <w:szCs w:val="28"/>
          <w:lang w:val="en-US" w:eastAsia="zh-CN" w:bidi="ar-SA"/>
        </w:rPr>
        <w:t xml:space="preserve">二、机构设置  </w:t>
      </w:r>
      <w:r>
        <w:rPr>
          <w:rFonts w:hint="default" w:ascii="仿宋" w:hAnsi="仿宋" w:eastAsia="仿宋" w:cs="Times New Roman"/>
          <w:kern w:val="2"/>
          <w:sz w:val="28"/>
          <w:szCs w:val="28"/>
          <w:lang w:val="en-US" w:eastAsia="zh-CN" w:bidi="ar-SA"/>
        </w:rPr>
        <w:t>………………………………………………</w:t>
      </w:r>
      <w:r>
        <w:rPr>
          <w:rFonts w:hint="default" w:ascii="仿宋" w:hAnsi="仿宋" w:eastAsia="仿宋"/>
          <w:sz w:val="28"/>
          <w:szCs w:val="28"/>
          <w:lang w:val="en-US" w:eastAsia="zh-CN"/>
        </w:rPr>
        <w:t>…</w:t>
      </w:r>
      <w:r>
        <w:rPr>
          <w:rFonts w:hint="eastAsia" w:ascii="仿宋" w:hAnsi="仿宋" w:eastAsia="仿宋" w:cs="Times New Roman"/>
          <w:kern w:val="2"/>
          <w:sz w:val="28"/>
          <w:szCs w:val="28"/>
          <w:lang w:val="en-US" w:eastAsia="zh-CN" w:bidi="ar-SA"/>
        </w:rPr>
        <w:t>5</w:t>
      </w:r>
    </w:p>
    <w:p>
      <w:pPr>
        <w:pStyle w:val="7"/>
        <w:adjustRightInd w:val="0"/>
        <w:snapToGrid w:val="0"/>
        <w:spacing w:before="0" w:line="440" w:lineRule="exact"/>
        <w:jc w:val="left"/>
        <w:rPr>
          <w:rFonts w:hint="default" w:ascii="仿宋" w:hAnsi="仿宋" w:eastAsia="仿宋" w:cs="Times New Roman"/>
          <w:kern w:val="2"/>
          <w:sz w:val="28"/>
          <w:szCs w:val="28"/>
          <w:lang w:val="en-US" w:eastAsia="zh-CN" w:bidi="ar-SA"/>
        </w:rPr>
      </w:pPr>
      <w:r>
        <w:rPr>
          <w:rFonts w:hint="eastAsia"/>
          <w:sz w:val="28"/>
          <w:szCs w:val="32"/>
        </w:rPr>
        <w:t>第二部分度部门决算情况说明</w:t>
      </w:r>
      <w:r>
        <w:rPr>
          <w:rFonts w:hint="default" w:ascii="仿宋" w:hAnsi="仿宋" w:eastAsia="仿宋" w:cs="Times New Roman"/>
          <w:kern w:val="2"/>
          <w:sz w:val="28"/>
          <w:szCs w:val="28"/>
          <w:lang w:val="en-US" w:eastAsia="zh-CN" w:bidi="ar-SA"/>
        </w:rPr>
        <w:t>……………………………………</w:t>
      </w:r>
      <w:r>
        <w:rPr>
          <w:rFonts w:hint="eastAsia" w:cs="Times New Roman"/>
          <w:kern w:val="2"/>
          <w:sz w:val="28"/>
          <w:szCs w:val="28"/>
          <w:lang w:val="en-US" w:eastAsia="zh-CN" w:bidi="ar-SA"/>
        </w:rPr>
        <w:t xml:space="preserve"> 6</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cs="Times New Roman"/>
          <w:kern w:val="2"/>
          <w:sz w:val="28"/>
          <w:szCs w:val="28"/>
          <w:lang w:val="en-US" w:eastAsia="zh-CN" w:bidi="ar-SA"/>
        </w:rPr>
        <w:t>一、收入支出决算总体情况说明</w:t>
      </w:r>
      <w:r>
        <w:rPr>
          <w:rFonts w:hint="default" w:ascii="仿宋" w:hAnsi="仿宋" w:eastAsia="仿宋" w:cs="Times New Roman"/>
          <w:kern w:val="2"/>
          <w:sz w:val="28"/>
          <w:szCs w:val="28"/>
          <w:lang w:val="en-US" w:eastAsia="zh-CN" w:bidi="ar-SA"/>
        </w:rPr>
        <w:t>……………………………</w:t>
      </w:r>
      <w:r>
        <w:rPr>
          <w:rFonts w:hint="default" w:ascii="仿宋" w:hAnsi="仿宋" w:eastAsia="仿宋"/>
          <w:sz w:val="28"/>
          <w:szCs w:val="28"/>
          <w:lang w:val="en-US" w:eastAsia="zh-CN"/>
        </w:rPr>
        <w:t>…</w:t>
      </w:r>
      <w:r>
        <w:rPr>
          <w:rFonts w:hint="eastAsia" w:ascii="仿宋" w:hAnsi="仿宋" w:eastAsia="仿宋"/>
          <w:sz w:val="28"/>
          <w:szCs w:val="28"/>
          <w:lang w:val="en-US" w:eastAsia="zh-CN"/>
        </w:rPr>
        <w:t>6</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二、收入决算情况说明</w:t>
      </w:r>
      <w:r>
        <w:rPr>
          <w:rFonts w:hint="default" w:ascii="仿宋" w:hAnsi="仿宋" w:eastAsia="仿宋"/>
          <w:sz w:val="28"/>
          <w:szCs w:val="28"/>
          <w:lang w:val="en-US" w:eastAsia="zh-CN"/>
        </w:rPr>
        <w:t>…………………………………………</w:t>
      </w:r>
      <w:r>
        <w:rPr>
          <w:rFonts w:hint="eastAsia" w:ascii="仿宋" w:hAnsi="仿宋" w:eastAsia="仿宋"/>
          <w:sz w:val="28"/>
          <w:szCs w:val="28"/>
          <w:lang w:val="en-US" w:eastAsia="zh-CN"/>
        </w:rPr>
        <w:t>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三、支出决算情况说明</w:t>
      </w:r>
      <w:r>
        <w:rPr>
          <w:rFonts w:hint="default" w:ascii="仿宋" w:hAnsi="仿宋" w:eastAsia="仿宋"/>
          <w:sz w:val="28"/>
          <w:szCs w:val="28"/>
          <w:lang w:val="en-US" w:eastAsia="zh-CN"/>
        </w:rPr>
        <w:t>…………………………………………</w:t>
      </w:r>
      <w:r>
        <w:rPr>
          <w:rFonts w:hint="eastAsia" w:ascii="仿宋" w:hAnsi="仿宋" w:eastAsia="仿宋"/>
          <w:sz w:val="28"/>
          <w:szCs w:val="28"/>
          <w:lang w:val="en-US" w:eastAsia="zh-CN"/>
        </w:rPr>
        <w:t xml:space="preserve">7 </w:t>
      </w:r>
    </w:p>
    <w:p>
      <w:pPr>
        <w:pStyle w:val="8"/>
        <w:adjustRightInd w:val="0"/>
        <w:snapToGrid w:val="0"/>
        <w:spacing w:line="440" w:lineRule="exact"/>
        <w:jc w:val="left"/>
        <w:rPr>
          <w:rFonts w:hint="eastAsia" w:ascii="仿宋" w:hAnsi="仿宋" w:eastAsia="仿宋"/>
          <w:sz w:val="28"/>
          <w:szCs w:val="28"/>
          <w:lang w:val="en-US" w:eastAsia="zh-CN"/>
        </w:rPr>
      </w:pPr>
      <w:r>
        <w:rPr>
          <w:rFonts w:hint="eastAsia" w:ascii="仿宋" w:hAnsi="仿宋" w:eastAsia="仿宋"/>
          <w:sz w:val="28"/>
          <w:szCs w:val="28"/>
        </w:rPr>
        <w:t>四、财政拨款收入支出决算总体情况说明</w:t>
      </w:r>
      <w:r>
        <w:rPr>
          <w:rFonts w:hint="default" w:ascii="仿宋" w:hAnsi="仿宋" w:eastAsia="仿宋"/>
          <w:sz w:val="28"/>
          <w:szCs w:val="28"/>
          <w:lang w:val="en-US" w:eastAsia="zh-CN"/>
        </w:rPr>
        <w:t>……………………</w:t>
      </w:r>
      <w:r>
        <w:rPr>
          <w:rFonts w:hint="eastAsia" w:ascii="仿宋" w:hAnsi="仿宋" w:eastAsia="仿宋"/>
          <w:sz w:val="28"/>
          <w:szCs w:val="28"/>
          <w:lang w:val="en-US" w:eastAsia="zh-CN"/>
        </w:rPr>
        <w:t>7</w:t>
      </w:r>
    </w:p>
    <w:p>
      <w:pPr>
        <w:pStyle w:val="8"/>
        <w:adjustRightInd w:val="0"/>
        <w:snapToGrid w:val="0"/>
        <w:spacing w:line="440" w:lineRule="exact"/>
        <w:jc w:val="left"/>
        <w:rPr>
          <w:rFonts w:hint="eastAsia" w:ascii="仿宋" w:hAnsi="仿宋" w:eastAsia="仿宋"/>
          <w:sz w:val="28"/>
          <w:szCs w:val="28"/>
          <w:lang w:val="en-US" w:eastAsia="zh-CN"/>
        </w:rPr>
      </w:pPr>
      <w:r>
        <w:rPr>
          <w:rFonts w:hint="eastAsia" w:ascii="仿宋" w:hAnsi="仿宋" w:eastAsia="仿宋"/>
          <w:sz w:val="28"/>
          <w:szCs w:val="28"/>
        </w:rPr>
        <w:t>五、一般公共预算财政拨款支出决算情况说明</w:t>
      </w:r>
      <w:r>
        <w:rPr>
          <w:rFonts w:hint="default" w:ascii="仿宋" w:hAnsi="仿宋" w:eastAsia="仿宋"/>
          <w:sz w:val="28"/>
          <w:szCs w:val="28"/>
          <w:lang w:val="en-US" w:eastAsia="zh-CN"/>
        </w:rPr>
        <w:t>………………</w:t>
      </w:r>
      <w:r>
        <w:rPr>
          <w:rFonts w:hint="eastAsia" w:ascii="仿宋" w:hAnsi="仿宋" w:eastAsia="仿宋"/>
          <w:sz w:val="28"/>
          <w:szCs w:val="28"/>
          <w:lang w:val="en-US" w:eastAsia="zh-CN"/>
        </w:rPr>
        <w:t>8</w:t>
      </w:r>
    </w:p>
    <w:p>
      <w:pPr>
        <w:pStyle w:val="8"/>
        <w:adjustRightInd w:val="0"/>
        <w:snapToGrid w:val="0"/>
        <w:spacing w:line="440" w:lineRule="exact"/>
        <w:jc w:val="left"/>
        <w:rPr>
          <w:rFonts w:hint="eastAsia" w:ascii="仿宋" w:hAnsi="仿宋" w:eastAsia="仿宋"/>
          <w:sz w:val="28"/>
          <w:szCs w:val="28"/>
        </w:rPr>
      </w:pPr>
      <w:r>
        <w:rPr>
          <w:rFonts w:hint="eastAsia" w:ascii="仿宋" w:hAnsi="仿宋" w:eastAsia="仿宋"/>
          <w:sz w:val="28"/>
          <w:szCs w:val="28"/>
        </w:rPr>
        <w:t>六、一般公共预算财政拨款基本支出决算情况说明</w:t>
      </w:r>
      <w:r>
        <w:rPr>
          <w:rFonts w:hint="default" w:ascii="仿宋" w:hAnsi="仿宋" w:eastAsia="仿宋"/>
          <w:sz w:val="28"/>
          <w:szCs w:val="28"/>
          <w:lang w:val="en-US" w:eastAsia="zh-CN"/>
        </w:rPr>
        <w:t>…………</w:t>
      </w:r>
      <w:r>
        <w:rPr>
          <w:rFonts w:hint="eastAsia" w:ascii="仿宋" w:hAnsi="仿宋" w:eastAsia="仿宋"/>
          <w:sz w:val="28"/>
          <w:szCs w:val="28"/>
          <w:lang w:val="en-US" w:eastAsia="zh-CN"/>
        </w:rPr>
        <w:t>8</w:t>
      </w:r>
    </w:p>
    <w:p>
      <w:pPr>
        <w:pStyle w:val="8"/>
        <w:adjustRightInd w:val="0"/>
        <w:snapToGrid w:val="0"/>
        <w:spacing w:line="440" w:lineRule="exact"/>
        <w:jc w:val="left"/>
        <w:rPr>
          <w:rFonts w:hint="eastAsia" w:ascii="仿宋" w:hAnsi="仿宋" w:eastAsia="仿宋"/>
          <w:sz w:val="28"/>
          <w:szCs w:val="28"/>
          <w:lang w:val="en-US" w:eastAsia="zh-CN"/>
        </w:rPr>
      </w:pPr>
      <w:r>
        <w:rPr>
          <w:rFonts w:hint="eastAsia" w:ascii="仿宋" w:hAnsi="仿宋" w:eastAsia="仿宋"/>
          <w:sz w:val="28"/>
          <w:szCs w:val="28"/>
        </w:rPr>
        <w:t>七、“三公”经费财政拨款支出决算情况说明</w:t>
      </w:r>
      <w:r>
        <w:rPr>
          <w:rFonts w:hint="default" w:ascii="仿宋" w:hAnsi="仿宋" w:eastAsia="仿宋"/>
          <w:sz w:val="28"/>
          <w:szCs w:val="28"/>
          <w:lang w:val="en-US" w:eastAsia="zh-CN"/>
        </w:rPr>
        <w:t>………………</w:t>
      </w:r>
      <w:r>
        <w:rPr>
          <w:rFonts w:hint="eastAsia" w:ascii="仿宋" w:hAnsi="仿宋" w:eastAsia="仿宋"/>
          <w:sz w:val="28"/>
          <w:szCs w:val="28"/>
          <w:lang w:val="en-US" w:eastAsia="zh-CN"/>
        </w:rPr>
        <w:t xml:space="preserve"> 9</w:t>
      </w:r>
    </w:p>
    <w:p>
      <w:pPr>
        <w:pStyle w:val="8"/>
        <w:adjustRightInd w:val="0"/>
        <w:snapToGrid w:val="0"/>
        <w:spacing w:line="440" w:lineRule="exact"/>
        <w:jc w:val="left"/>
        <w:rPr>
          <w:rFonts w:hint="eastAsia" w:ascii="仿宋" w:hAnsi="仿宋" w:eastAsia="仿宋"/>
          <w:sz w:val="28"/>
          <w:szCs w:val="28"/>
          <w:lang w:val="en-US" w:eastAsia="zh-CN"/>
        </w:rPr>
      </w:pPr>
      <w:r>
        <w:rPr>
          <w:rFonts w:hint="eastAsia" w:ascii="仿宋" w:hAnsi="仿宋" w:eastAsia="仿宋"/>
          <w:sz w:val="28"/>
          <w:szCs w:val="28"/>
        </w:rPr>
        <w:t>八、政府性基金预算支出决算情况说明</w:t>
      </w:r>
      <w:r>
        <w:rPr>
          <w:rFonts w:hint="eastAsia" w:ascii="仿宋" w:hAnsi="仿宋" w:eastAsia="仿宋"/>
          <w:sz w:val="28"/>
          <w:szCs w:val="28"/>
          <w:lang w:val="en-US" w:eastAsia="zh-CN"/>
        </w:rPr>
        <w:t xml:space="preserve"> </w:t>
      </w:r>
      <w:r>
        <w:rPr>
          <w:rFonts w:hint="default" w:ascii="仿宋" w:hAnsi="仿宋" w:eastAsia="仿宋"/>
          <w:sz w:val="28"/>
          <w:szCs w:val="28"/>
          <w:lang w:val="en-US" w:eastAsia="zh-CN"/>
        </w:rPr>
        <w:t>……………………</w:t>
      </w:r>
      <w:r>
        <w:rPr>
          <w:rFonts w:hint="eastAsia" w:ascii="仿宋" w:hAnsi="仿宋" w:eastAsia="仿宋"/>
          <w:sz w:val="28"/>
          <w:szCs w:val="28"/>
          <w:lang w:val="en-US" w:eastAsia="zh-CN"/>
        </w:rPr>
        <w:t xml:space="preserve"> 9</w:t>
      </w:r>
    </w:p>
    <w:p>
      <w:pPr>
        <w:pStyle w:val="8"/>
        <w:adjustRightInd w:val="0"/>
        <w:snapToGrid w:val="0"/>
        <w:spacing w:line="440" w:lineRule="exact"/>
        <w:jc w:val="left"/>
        <w:rPr>
          <w:rFonts w:hint="eastAsia" w:ascii="仿宋" w:hAnsi="仿宋" w:eastAsia="仿宋"/>
          <w:sz w:val="28"/>
          <w:szCs w:val="28"/>
          <w:lang w:val="en-US" w:eastAsia="zh-CN"/>
        </w:rPr>
      </w:pPr>
      <w:r>
        <w:rPr>
          <w:rFonts w:hint="eastAsia" w:ascii="仿宋" w:hAnsi="仿宋" w:eastAsia="仿宋"/>
          <w:sz w:val="28"/>
          <w:szCs w:val="28"/>
        </w:rPr>
        <w:t>九、 国有资本经营预算支出决算情况说明</w:t>
      </w:r>
      <w:r>
        <w:rPr>
          <w:rFonts w:hint="eastAsia" w:ascii="仿宋" w:hAnsi="仿宋" w:eastAsia="仿宋"/>
          <w:sz w:val="28"/>
          <w:szCs w:val="28"/>
          <w:lang w:val="en-US" w:eastAsia="zh-CN"/>
        </w:rPr>
        <w:t xml:space="preserve"> </w:t>
      </w:r>
      <w:r>
        <w:rPr>
          <w:rFonts w:hint="default" w:ascii="仿宋" w:hAnsi="仿宋" w:eastAsia="仿宋"/>
          <w:sz w:val="28"/>
          <w:szCs w:val="28"/>
          <w:lang w:val="en-US" w:eastAsia="zh-CN"/>
        </w:rPr>
        <w:t>………………</w:t>
      </w:r>
      <w:r>
        <w:rPr>
          <w:rFonts w:hint="eastAsia" w:ascii="仿宋" w:hAnsi="仿宋" w:eastAsia="仿宋"/>
          <w:sz w:val="28"/>
          <w:szCs w:val="28"/>
          <w:lang w:val="en-US" w:eastAsia="zh-CN"/>
        </w:rPr>
        <w:t xml:space="preserve">  9</w:t>
      </w:r>
    </w:p>
    <w:p>
      <w:pPr>
        <w:pStyle w:val="8"/>
        <w:adjustRightInd w:val="0"/>
        <w:snapToGrid w:val="0"/>
        <w:spacing w:line="440" w:lineRule="exact"/>
        <w:jc w:val="left"/>
        <w:rPr>
          <w:rFonts w:hint="eastAsia" w:ascii="仿宋" w:hAnsi="仿宋" w:eastAsia="仿宋"/>
          <w:sz w:val="28"/>
          <w:szCs w:val="28"/>
          <w:lang w:eastAsia="zh-CN"/>
        </w:rPr>
      </w:pPr>
      <w:r>
        <w:rPr>
          <w:rFonts w:hint="eastAsia" w:ascii="仿宋" w:hAnsi="仿宋" w:eastAsia="仿宋"/>
          <w:sz w:val="28"/>
          <w:szCs w:val="28"/>
        </w:rPr>
        <w:t>十、其他重要事项的情况说</w:t>
      </w:r>
      <w:r>
        <w:rPr>
          <w:rFonts w:hint="eastAsia" w:ascii="仿宋" w:hAnsi="仿宋" w:eastAsia="仿宋"/>
          <w:sz w:val="28"/>
          <w:szCs w:val="28"/>
          <w:lang w:eastAsia="zh-CN"/>
        </w:rPr>
        <w:t>明</w:t>
      </w:r>
      <w:r>
        <w:rPr>
          <w:rFonts w:hint="default" w:ascii="仿宋" w:hAnsi="仿宋" w:eastAsia="仿宋"/>
          <w:sz w:val="28"/>
          <w:szCs w:val="28"/>
          <w:lang w:val="en-US" w:eastAsia="zh-CN"/>
        </w:rPr>
        <w:t>………………………………</w:t>
      </w:r>
      <w:r>
        <w:rPr>
          <w:rFonts w:hint="eastAsia" w:ascii="仿宋" w:hAnsi="仿宋" w:eastAsia="仿宋"/>
          <w:sz w:val="28"/>
          <w:szCs w:val="28"/>
          <w:lang w:val="en-US" w:eastAsia="zh-CN"/>
        </w:rPr>
        <w:t xml:space="preserve">  9</w:t>
      </w:r>
    </w:p>
    <w:p>
      <w:pPr>
        <w:pStyle w:val="7"/>
        <w:numPr>
          <w:ilvl w:val="0"/>
          <w:numId w:val="1"/>
        </w:numPr>
        <w:adjustRightInd w:val="0"/>
        <w:snapToGrid w:val="0"/>
        <w:spacing w:before="0" w:line="440" w:lineRule="exact"/>
        <w:jc w:val="left"/>
        <w:rPr>
          <w:sz w:val="28"/>
          <w:szCs w:val="28"/>
        </w:rPr>
      </w:pPr>
      <w:r>
        <w:rPr>
          <w:rFonts w:hint="eastAsia"/>
          <w:sz w:val="28"/>
          <w:szCs w:val="32"/>
        </w:rPr>
        <w:t>名词解释</w:t>
      </w:r>
      <w:r>
        <w:rPr>
          <w:rFonts w:hint="eastAsia"/>
          <w:sz w:val="28"/>
          <w:szCs w:val="32"/>
          <w:lang w:val="en-US" w:eastAsia="zh-CN"/>
        </w:rPr>
        <w:t xml:space="preserve"> </w:t>
      </w:r>
      <w:r>
        <w:rPr>
          <w:rFonts w:hint="default" w:ascii="仿宋" w:hAnsi="仿宋" w:eastAsia="仿宋"/>
          <w:sz w:val="28"/>
          <w:szCs w:val="28"/>
          <w:lang w:val="en-US" w:eastAsia="zh-CN"/>
        </w:rPr>
        <w:t>………………………………………………</w:t>
      </w:r>
      <w:r>
        <w:rPr>
          <w:rFonts w:hint="eastAsia"/>
          <w:sz w:val="28"/>
          <w:szCs w:val="28"/>
          <w:lang w:val="en-US" w:eastAsia="zh-CN"/>
        </w:rPr>
        <w:t xml:space="preserve"> 10</w:t>
      </w:r>
    </w:p>
    <w:p>
      <w:pPr>
        <w:pStyle w:val="7"/>
        <w:numPr>
          <w:ilvl w:val="0"/>
          <w:numId w:val="1"/>
        </w:numPr>
        <w:adjustRightInd w:val="0"/>
        <w:snapToGrid w:val="0"/>
        <w:spacing w:before="0" w:line="440" w:lineRule="exact"/>
        <w:jc w:val="left"/>
        <w:rPr>
          <w:sz w:val="28"/>
          <w:szCs w:val="28"/>
        </w:rPr>
      </w:pPr>
      <w:r>
        <w:rPr>
          <w:rFonts w:hint="eastAsia"/>
          <w:sz w:val="28"/>
          <w:szCs w:val="32"/>
          <w:lang w:eastAsia="zh-CN"/>
        </w:rPr>
        <w:t>附</w:t>
      </w:r>
      <w:r>
        <w:rPr>
          <w:rFonts w:hint="eastAsia"/>
          <w:sz w:val="28"/>
          <w:szCs w:val="32"/>
        </w:rPr>
        <w:t>件</w:t>
      </w:r>
      <w:r>
        <w:rPr>
          <w:rFonts w:hint="default" w:ascii="仿宋" w:hAnsi="仿宋" w:eastAsia="仿宋"/>
          <w:sz w:val="28"/>
          <w:szCs w:val="28"/>
          <w:lang w:val="en-US" w:eastAsia="zh-CN"/>
        </w:rPr>
        <w:t>………………………………………………………</w:t>
      </w:r>
      <w:r>
        <w:rPr>
          <w:rFonts w:hint="eastAsia"/>
          <w:sz w:val="28"/>
          <w:szCs w:val="28"/>
          <w:lang w:val="en-US" w:eastAsia="zh-CN"/>
        </w:rPr>
        <w:t>13</w:t>
      </w:r>
    </w:p>
    <w:p>
      <w:pPr>
        <w:pStyle w:val="7"/>
        <w:numPr>
          <w:ilvl w:val="0"/>
          <w:numId w:val="1"/>
        </w:numPr>
        <w:adjustRightInd w:val="0"/>
        <w:snapToGrid w:val="0"/>
        <w:spacing w:before="0" w:line="440" w:lineRule="exact"/>
        <w:jc w:val="left"/>
        <w:rPr>
          <w:sz w:val="28"/>
          <w:szCs w:val="28"/>
        </w:rPr>
      </w:pPr>
      <w:r>
        <w:rPr>
          <w:rFonts w:hint="eastAsia"/>
          <w:sz w:val="28"/>
          <w:szCs w:val="32"/>
        </w:rPr>
        <w:t>附表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ind w:left="0" w:leftChars="0" w:firstLine="560" w:firstLineChars="200"/>
        <w:jc w:val="left"/>
        <w:rPr>
          <w:rFonts w:hint="default" w:ascii="仿宋" w:hAnsi="仿宋" w:eastAsia="仿宋"/>
          <w:sz w:val="28"/>
          <w:szCs w:val="28"/>
          <w:lang w:val="en-US"/>
        </w:rPr>
      </w:pPr>
      <w:r>
        <w:rPr>
          <w:rFonts w:hint="eastAsia" w:ascii="仿宋" w:hAnsi="仿宋" w:eastAsia="仿宋"/>
          <w:sz w:val="28"/>
          <w:szCs w:val="28"/>
        </w:rPr>
        <w:t>一、收入支出决算总表</w:t>
      </w:r>
      <w:r>
        <w:rPr>
          <w:rFonts w:hint="default" w:ascii="仿宋" w:hAnsi="仿宋" w:eastAsia="仿宋"/>
          <w:sz w:val="28"/>
          <w:szCs w:val="28"/>
          <w:lang w:val="en-US" w:eastAsia="zh-CN"/>
        </w:rPr>
        <w:t>………………………………………</w:t>
      </w:r>
      <w:r>
        <w:rPr>
          <w:rFonts w:hint="eastAsia" w:ascii="仿宋" w:hAnsi="仿宋" w:eastAsia="仿宋"/>
          <w:sz w:val="28"/>
          <w:szCs w:val="28"/>
          <w:lang w:val="en-US" w:eastAsia="zh-CN"/>
        </w:rPr>
        <w:t xml:space="preserve"> </w:t>
      </w:r>
      <w:r>
        <w:rPr>
          <w:rFonts w:hint="eastAsia"/>
          <w:sz w:val="28"/>
          <w:szCs w:val="28"/>
          <w:lang w:val="en-US" w:eastAsia="zh-CN"/>
        </w:rPr>
        <w:t>17</w:t>
      </w:r>
    </w:p>
    <w:p>
      <w:pPr>
        <w:pStyle w:val="7"/>
        <w:numPr>
          <w:ilvl w:val="0"/>
          <w:numId w:val="0"/>
        </w:numPr>
        <w:adjustRightInd w:val="0"/>
        <w:snapToGrid w:val="0"/>
        <w:spacing w:before="0" w:line="440" w:lineRule="exact"/>
        <w:ind w:firstLine="560" w:firstLineChars="200"/>
        <w:jc w:val="left"/>
        <w:rPr>
          <w:sz w:val="28"/>
          <w:szCs w:val="28"/>
        </w:rPr>
      </w:pPr>
      <w:r>
        <w:rPr>
          <w:rFonts w:hint="eastAsia" w:ascii="仿宋" w:hAnsi="仿宋" w:eastAsia="仿宋"/>
          <w:sz w:val="28"/>
          <w:szCs w:val="28"/>
        </w:rPr>
        <w:t>二、收入决算表</w:t>
      </w:r>
      <w:r>
        <w:rPr>
          <w:rFonts w:hint="default" w:ascii="仿宋" w:hAnsi="仿宋" w:eastAsia="仿宋"/>
          <w:sz w:val="28"/>
          <w:szCs w:val="28"/>
          <w:lang w:val="en-US" w:eastAsia="zh-CN"/>
        </w:rPr>
        <w:t>………………………………………………</w:t>
      </w:r>
      <w:r>
        <w:rPr>
          <w:rFonts w:hint="eastAsia"/>
          <w:sz w:val="28"/>
          <w:szCs w:val="28"/>
          <w:lang w:val="en-US" w:eastAsia="zh-CN"/>
        </w:rPr>
        <w:t xml:space="preserve"> 17</w:t>
      </w:r>
    </w:p>
    <w:p>
      <w:pPr>
        <w:pStyle w:val="8"/>
        <w:adjustRightInd w:val="0"/>
        <w:snapToGrid w:val="0"/>
        <w:spacing w:line="440" w:lineRule="exact"/>
        <w:jc w:val="left"/>
        <w:rPr>
          <w:rFonts w:hint="eastAsia" w:ascii="仿宋" w:hAnsi="仿宋" w:eastAsia="仿宋"/>
          <w:sz w:val="28"/>
          <w:szCs w:val="28"/>
        </w:rPr>
      </w:pPr>
      <w:r>
        <w:rPr>
          <w:rFonts w:hint="eastAsia" w:ascii="仿宋" w:hAnsi="仿宋" w:eastAsia="仿宋"/>
          <w:sz w:val="28"/>
          <w:szCs w:val="28"/>
        </w:rPr>
        <w:t>三、支出决算表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eastAsia" w:ascii="仿宋" w:hAnsi="仿宋" w:eastAsia="仿宋"/>
          <w:sz w:val="28"/>
          <w:szCs w:val="28"/>
        </w:rPr>
      </w:pPr>
      <w:r>
        <w:rPr>
          <w:rFonts w:hint="eastAsia" w:ascii="仿宋" w:hAnsi="仿宋" w:eastAsia="仿宋"/>
          <w:sz w:val="28"/>
          <w:szCs w:val="28"/>
        </w:rPr>
        <w:t>四、财政拨款收入支出决算总表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五、财政拨款支出决算明细表</w:t>
      </w:r>
      <w:r>
        <w:rPr>
          <w:rFonts w:hint="eastAsia" w:ascii="仿宋" w:hAnsi="仿宋" w:eastAsia="仿宋"/>
          <w:sz w:val="28"/>
          <w:szCs w:val="28"/>
          <w:lang w:val="en-US" w:eastAsia="zh-CN"/>
        </w:rPr>
        <w:t xml:space="preserve"> </w:t>
      </w:r>
      <w:r>
        <w:rPr>
          <w:rFonts w:hint="default" w:ascii="仿宋" w:hAnsi="仿宋" w:eastAsia="仿宋"/>
          <w:sz w:val="28"/>
          <w:szCs w:val="28"/>
          <w:lang w:val="en-US" w:eastAsia="zh-CN"/>
        </w:rPr>
        <w:t>………………………………</w:t>
      </w:r>
      <w:r>
        <w:rPr>
          <w:rFonts w:hint="eastAsia" w:ascii="仿宋" w:hAnsi="仿宋" w:eastAsia="仿宋"/>
          <w:sz w:val="28"/>
          <w:szCs w:val="28"/>
          <w:lang w:val="en-US" w:eastAsia="zh-CN"/>
        </w:rPr>
        <w:t xml:space="preserve"> </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六、一般公共预算财政拨款支出决算表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七、一般公共预算财政拨款支出决算明细表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八、一般公共预算财政拨款基本支出决算表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九、一般公共预算财政拨款项目支出决算表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十、一般公共预算财政拨款“三公”经费支出决算表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eastAsia" w:ascii="仿宋" w:hAnsi="仿宋" w:eastAsia="仿宋"/>
          <w:sz w:val="28"/>
          <w:szCs w:val="28"/>
        </w:rPr>
      </w:pP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十一、政府性基金预算财政拨款收入支出决算表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十二、政府性基金预算财政拨款“三公”经费支出决算表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十三、国有资本经营预算财政拨款收入支出决算表</w:t>
      </w:r>
      <w:r>
        <w:rPr>
          <w:rFonts w:hint="default" w:ascii="仿宋" w:hAnsi="仿宋" w:eastAsia="仿宋"/>
          <w:sz w:val="28"/>
          <w:szCs w:val="28"/>
          <w:lang w:val="en-US" w:eastAsia="zh-CN"/>
        </w:rPr>
        <w:t>…………</w:t>
      </w:r>
      <w:r>
        <w:rPr>
          <w:rFonts w:hint="eastAsia"/>
          <w:sz w:val="28"/>
          <w:szCs w:val="28"/>
          <w:lang w:val="en-US" w:eastAsia="zh-CN"/>
        </w:rPr>
        <w:t>17</w:t>
      </w:r>
    </w:p>
    <w:p>
      <w:pPr>
        <w:pStyle w:val="8"/>
        <w:adjustRightInd w:val="0"/>
        <w:snapToGrid w:val="0"/>
        <w:spacing w:line="440" w:lineRule="exact"/>
        <w:jc w:val="left"/>
        <w:rPr>
          <w:rFonts w:hint="default" w:ascii="仿宋" w:hAnsi="仿宋" w:eastAsia="仿宋"/>
          <w:sz w:val="28"/>
          <w:szCs w:val="28"/>
          <w:lang w:val="en-US"/>
        </w:rPr>
      </w:pPr>
      <w:r>
        <w:rPr>
          <w:rFonts w:hint="eastAsia" w:ascii="仿宋" w:hAnsi="仿宋" w:eastAsia="仿宋"/>
          <w:sz w:val="28"/>
          <w:szCs w:val="28"/>
        </w:rPr>
        <w:t>十四、国有资本经营预算财政拨款支出决</w:t>
      </w:r>
      <w:r>
        <w:rPr>
          <w:rFonts w:hint="eastAsia" w:ascii="仿宋" w:hAnsi="仿宋" w:eastAsia="仿宋"/>
          <w:sz w:val="28"/>
          <w:szCs w:val="28"/>
          <w:lang w:eastAsia="zh-CN"/>
        </w:rPr>
        <w:t>算表</w:t>
      </w:r>
      <w:r>
        <w:rPr>
          <w:rFonts w:hint="default" w:ascii="仿宋" w:hAnsi="仿宋" w:eastAsia="仿宋"/>
          <w:sz w:val="28"/>
          <w:szCs w:val="28"/>
          <w:lang w:val="en-US" w:eastAsia="zh-CN"/>
        </w:rPr>
        <w:t>………………</w:t>
      </w:r>
      <w:r>
        <w:rPr>
          <w:rFonts w:hint="eastAsia"/>
          <w:sz w:val="28"/>
          <w:szCs w:val="28"/>
          <w:lang w:val="en-US" w:eastAsia="zh-CN"/>
        </w:rPr>
        <w:t>17</w:t>
      </w:r>
    </w:p>
    <w:p>
      <w:pPr>
        <w:snapToGrid w:val="0"/>
        <w:spacing w:line="640" w:lineRule="exact"/>
        <w:rPr>
          <w:rFonts w:hint="eastAsia" w:ascii="黑体" w:hAnsi="黑体" w:eastAsia="黑体"/>
          <w:color w:val="000000"/>
          <w:sz w:val="44"/>
          <w:szCs w:val="44"/>
        </w:rPr>
      </w:pPr>
      <w:bookmarkStart w:id="29" w:name="_GoBack"/>
      <w:bookmarkEnd w:id="29"/>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p>
    <w:p>
      <w:pPr>
        <w:snapToGrid w:val="0"/>
        <w:spacing w:line="640" w:lineRule="exact"/>
        <w:ind w:firstLine="1760" w:firstLineChars="400"/>
        <w:rPr>
          <w:rFonts w:hint="eastAsia" w:ascii="黑体" w:hAnsi="黑体" w:eastAsia="黑体"/>
          <w:color w:val="000000"/>
          <w:sz w:val="44"/>
          <w:szCs w:val="44"/>
        </w:rPr>
      </w:pPr>
      <w:r>
        <w:rPr>
          <w:rFonts w:hint="eastAsia" w:ascii="黑体" w:hAnsi="黑体" w:eastAsia="黑体"/>
          <w:color w:val="000000"/>
          <w:sz w:val="44"/>
          <w:szCs w:val="44"/>
        </w:rPr>
        <w:t>第一部分 部门概况</w:t>
      </w:r>
    </w:p>
    <w:p>
      <w:pPr>
        <w:snapToGrid w:val="0"/>
        <w:spacing w:line="64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一、基本职能及主要工作</w:t>
      </w:r>
    </w:p>
    <w:p>
      <w:pPr>
        <w:pStyle w:val="4"/>
        <w:adjustRightInd w:val="0"/>
        <w:snapToGrid w:val="0"/>
        <w:spacing w:before="93" w:line="600" w:lineRule="exact"/>
        <w:ind w:firstLine="320" w:firstLineChars="100"/>
        <w:rPr>
          <w:rFonts w:hint="eastAsia" w:asciiTheme="minorEastAsia" w:hAnsiTheme="minorEastAsia" w:eastAsiaTheme="minorEastAsia" w:cstheme="minorEastAsia"/>
          <w:kern w:val="2"/>
          <w:szCs w:val="30"/>
        </w:rPr>
      </w:pPr>
      <w:r>
        <w:rPr>
          <w:rFonts w:hint="eastAsia" w:asciiTheme="minorEastAsia" w:hAnsiTheme="minorEastAsia" w:eastAsiaTheme="minorEastAsia" w:cstheme="minorEastAsia"/>
          <w:bCs/>
          <w:color w:val="000000"/>
          <w:sz w:val="32"/>
          <w:szCs w:val="32"/>
        </w:rPr>
        <w:t>（一）主要职能：</w:t>
      </w:r>
      <w:r>
        <w:rPr>
          <w:rFonts w:hint="eastAsia" w:asciiTheme="minorEastAsia" w:hAnsiTheme="minorEastAsia" w:eastAsiaTheme="minorEastAsia" w:cstheme="minorEastAsia"/>
          <w:kern w:val="2"/>
          <w:szCs w:val="30"/>
        </w:rPr>
        <w:t>实施义务教育，促进基础教育发展。</w:t>
      </w:r>
    </w:p>
    <w:p>
      <w:pPr>
        <w:spacing w:line="490" w:lineRule="exact"/>
        <w:ind w:firstLine="320" w:firstLineChars="100"/>
        <w:rPr>
          <w:rFonts w:hint="eastAsia" w:asciiTheme="minorEastAsia" w:hAnsiTheme="minorEastAsia" w:eastAsiaTheme="minorEastAsia" w:cstheme="minorEastAsia"/>
          <w:bCs/>
          <w:color w:val="000000"/>
          <w:sz w:val="32"/>
          <w:szCs w:val="32"/>
        </w:rPr>
      </w:pPr>
      <w:r>
        <w:rPr>
          <w:rFonts w:hint="eastAsia" w:asciiTheme="minorEastAsia" w:hAnsiTheme="minorEastAsia" w:eastAsiaTheme="minorEastAsia" w:cstheme="minorEastAsia"/>
          <w:bCs/>
          <w:color w:val="000000"/>
          <w:sz w:val="32"/>
          <w:szCs w:val="32"/>
        </w:rPr>
        <w:t>（二）2020年重点工作完成情况。</w:t>
      </w:r>
    </w:p>
    <w:p>
      <w:pPr>
        <w:ind w:firstLine="560" w:firstLineChars="200"/>
        <w:rPr>
          <w:rFonts w:asciiTheme="minorEastAsia" w:hAnsiTheme="minorEastAsia" w:eastAsiaTheme="minorEastAsia"/>
          <w:b w:val="0"/>
          <w:bCs/>
          <w:sz w:val="28"/>
          <w:szCs w:val="28"/>
        </w:rPr>
      </w:pPr>
      <w:r>
        <w:rPr>
          <w:rFonts w:hint="eastAsia" w:asciiTheme="minorEastAsia" w:hAnsiTheme="minorEastAsia" w:eastAsiaTheme="minorEastAsia"/>
          <w:b w:val="0"/>
          <w:bCs/>
          <w:sz w:val="28"/>
          <w:szCs w:val="28"/>
        </w:rPr>
        <w:t>1.学校工作开展情况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(1)互联背景下白塔小学教育的新行动。在移动互联网背景下，我们尝试建立新的教学模式，实现跨时空的多元学习方式无缝链接，通过教学、活动的有机融合，通过技术与课堂的整合，促进教育行动的改变，立足教育新技术与课堂深度融合的方式，让教学成为师生的共同学习的旅程。打造智慧学校的PDC。今年我们在博雅教育的办学理念下，提出大力开展创客教育，倡导人人当创客，个个有创意，大胆践行教学改革，改变报告式的教学模式，培养学生的实践能力和创新精神。动员每位教师积极起来学习新技术，运用APP工具软件生成图文并茂的资源，推荐使用用“初页”“美篇”软件制作影音课程资料，建立教师PDC项目微信群，各班建立家长微信群，让每位教师使用新技术，从低级劳动中解放出来，用教师的智慧培育学生的智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(2)创新“四大节日”活动内容。今年是教育部关于中小学生“核心素养”颁发的第一年，学校提出学生“八大能力”的培养，认真落实“四大节日”，培养学生核心素养。学校三月、四月开展“好书伴我行”的读书节，孩子们在书中发现世界，看见远方；五月、六月开展“书香伴童年”的艺术节，每个孩子穿上节日的盛装感受高贵的新生活，培养信心，接受艺术审美的熏陶；九月、十月开展“变废为宝时装秀”科技节，各班开设创意科技专栏，布置创意教室，激发学生的创新意识，培养科学精神、创新能力；十一月、十二月开展“趣味网球”体育节，确保学生“每天锻炼一小时”，培养学生运动技能，增强学生体质。学校四大节日结合季节特点，创新活动内容，构建学校新生活，激发学生学习的内驱力，促进每个孩子快乐成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（3）开展“立德树人，正品成格”新德育研究。为进一步提高德育实效，丰富德育内容，学校在 “美丽十小人、博雅乐园”德育评价基础上，开展新德育课题研究。通过开设影音德育、节日德育、故事德育、学科德育、社区德育、时事德育等十个德育模块，让德育更接地气，让每个孩子遇见最好的自己！今年九月学校开展“四大德育”行动验收，学生的“坐姿、站姿、靠右行、普通话”有明显的变化；十月开展爱国教育活动，传承民族精神，激发学生从小树立远大理想；十一月开展“寻找冬天的足迹”冬游活动，提出“讲秩序、懂分享、守安全、爱环保”的德育目标，培养孩子们自理能力、环保意识，冬游活动没有接到公园管理人员的投诉。学校每期举行一次安全逃生演练，强化安全意识，培养应急状态下的逃生能力；学校每期举行一次校园电影播放，丰富学生校园生活。从活动情况看，“立德树人、正品成格”的德育成果正在显现，学生的养成教育收到实效，文明气质得到提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(4)促进教师专业成长。教师专业成长是学校非常重视的工作。学校在每学期第二个月开展教学论坛活动，举行新进教师汇报课展示，开展全员参与的学校公开课展示，举办“五四青年节”教师专业阅读比赛，间周开展学科教研活动；暑期放假邀请教育专家来校开展教师专业能力提升的全员培训；通过形式多样的教师专业培训，提升教师的专业素养。从本年教职工工作的完成情况看，每一位教职工的工作都有很大进步，专业水平快速提升，教育理念得到更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(5)学校管理效率提升。学校实行扁平化管理，强化过程管理，强化执行力，发挥集体智慧，加强制度建设，反对干部中的“老好人”作风，反对传播虚假信息，反对传递负能量，严格责任追究。加强干部学习，提升管理能力。本期干部团结协作，责任心加强，工作质量提高，学校工作迈上新台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(6)加强防疫工作，开展线上线下教育，提高师生防疫新冠病毒等传染病的能力。</w:t>
      </w:r>
    </w:p>
    <w:p>
      <w:pPr>
        <w:keepNext w:val="0"/>
        <w:keepLines w:val="0"/>
        <w:pageBreakBefore w:val="0"/>
        <w:widowControl w:val="0"/>
        <w:kinsoku/>
        <w:wordWrap/>
        <w:overflowPunct/>
        <w:topLinePunct w:val="0"/>
        <w:autoSpaceDE/>
        <w:autoSpaceDN/>
        <w:bidi w:val="0"/>
        <w:adjustRightInd/>
        <w:snapToGrid/>
        <w:spacing w:line="500" w:lineRule="exact"/>
        <w:ind w:left="709"/>
        <w:textAlignment w:val="auto"/>
        <w:rPr>
          <w:rFonts w:asciiTheme="minorEastAsia" w:hAnsiTheme="minorEastAsia" w:eastAsiaTheme="minorEastAsia"/>
          <w:b/>
          <w:sz w:val="30"/>
          <w:szCs w:val="30"/>
        </w:rPr>
      </w:pPr>
      <w:r>
        <w:rPr>
          <w:rFonts w:hint="eastAsia" w:asciiTheme="minorEastAsia" w:hAnsiTheme="minorEastAsia" w:eastAsiaTheme="minorEastAsia"/>
          <w:b/>
          <w:sz w:val="30"/>
          <w:szCs w:val="30"/>
        </w:rPr>
        <w:t>2.学校各项工作取得的成效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全年学校工作取得喜人成绩，学校的科技教育、教学工作、环境卫生、安全工作多次得到主管部门、社区的高度评价。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rPr>
        <w:t>二、</w:t>
      </w:r>
      <w:r>
        <w:rPr>
          <w:rFonts w:hint="eastAsia" w:ascii="宋体" w:hAnsi="宋体" w:eastAsia="宋体" w:cs="宋体"/>
          <w:color w:val="000000"/>
          <w:sz w:val="32"/>
          <w:szCs w:val="32"/>
          <w:lang w:eastAsia="zh-CN"/>
        </w:rPr>
        <w:t>机构设置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1.机构情况:学校设有校长室、办公室、教务处、安保处、后勤财务处等5个处室。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 w:hAnsi="仿宋" w:eastAsia="仿宋"/>
          <w:color w:val="000000"/>
          <w:sz w:val="32"/>
          <w:szCs w:val="32"/>
        </w:rPr>
      </w:pPr>
      <w:r>
        <w:rPr>
          <w:rFonts w:hint="eastAsia" w:ascii="仿宋" w:hAnsi="仿宋" w:eastAsia="仿宋"/>
          <w:color w:val="000000"/>
          <w:sz w:val="32"/>
          <w:szCs w:val="32"/>
        </w:rPr>
        <w:t>2．人员情况:现有中心校教学班17个，学生739人，幼儿班2个，幼儿人数59人。村校教学点1个，排垭村小现有教学班1个，学生共3人。在职事业在编数76人，离退休人员57人，遗嘱人员8人。</w:t>
      </w:r>
    </w:p>
    <w:p>
      <w:pPr>
        <w:snapToGrid w:val="0"/>
        <w:spacing w:line="640" w:lineRule="exact"/>
        <w:ind w:firstLine="880" w:firstLineChars="200"/>
        <w:rPr>
          <w:rFonts w:hint="eastAsia" w:ascii="黑体" w:hAnsi="黑体" w:eastAsia="黑体"/>
          <w:color w:val="000000"/>
          <w:sz w:val="44"/>
          <w:szCs w:val="44"/>
        </w:rPr>
      </w:pPr>
    </w:p>
    <w:p>
      <w:pPr>
        <w:snapToGrid w:val="0"/>
        <w:spacing w:line="640" w:lineRule="exact"/>
        <w:ind w:firstLine="880" w:firstLineChars="200"/>
        <w:rPr>
          <w:rFonts w:hint="eastAsia" w:ascii="黑体" w:hAnsi="黑体" w:eastAsia="黑体"/>
          <w:color w:val="000000"/>
          <w:sz w:val="44"/>
          <w:szCs w:val="44"/>
        </w:rPr>
      </w:pPr>
      <w:r>
        <w:rPr>
          <w:rFonts w:hint="eastAsia" w:ascii="黑体" w:hAnsi="黑体" w:eastAsia="黑体"/>
          <w:color w:val="000000"/>
          <w:sz w:val="44"/>
          <w:szCs w:val="44"/>
        </w:rPr>
        <w:t>第二部分</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部门决算情况说明</w:t>
      </w:r>
    </w:p>
    <w:p>
      <w:pPr>
        <w:spacing w:line="600" w:lineRule="exact"/>
        <w:ind w:firstLine="560" w:firstLineChars="20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lang w:eastAsia="zh-CN"/>
        </w:rPr>
        <w:t>一</w:t>
      </w:r>
      <w:r>
        <w:rPr>
          <w:rFonts w:hint="eastAsia" w:asciiTheme="minorEastAsia" w:hAnsiTheme="minorEastAsia" w:eastAsiaTheme="minorEastAsia"/>
          <w:color w:val="000000"/>
          <w:sz w:val="28"/>
          <w:szCs w:val="28"/>
        </w:rPr>
        <w:t>、收</w:t>
      </w:r>
      <w:r>
        <w:rPr>
          <w:rFonts w:hint="eastAsia" w:asciiTheme="minorEastAsia" w:hAnsiTheme="minorEastAsia" w:eastAsiaTheme="minorEastAsia"/>
          <w:color w:val="000000"/>
          <w:sz w:val="28"/>
          <w:szCs w:val="28"/>
          <w:lang w:eastAsia="zh-CN"/>
        </w:rPr>
        <w:t>入</w:t>
      </w:r>
      <w:r>
        <w:rPr>
          <w:rFonts w:hint="eastAsia" w:asciiTheme="minorEastAsia" w:hAnsiTheme="minorEastAsia" w:eastAsiaTheme="minorEastAsia"/>
          <w:color w:val="000000"/>
          <w:sz w:val="28"/>
          <w:szCs w:val="28"/>
        </w:rPr>
        <w:t>支</w:t>
      </w:r>
      <w:r>
        <w:rPr>
          <w:rFonts w:hint="eastAsia" w:asciiTheme="minorEastAsia" w:hAnsiTheme="minorEastAsia" w:eastAsiaTheme="minorEastAsia"/>
          <w:color w:val="000000"/>
          <w:sz w:val="28"/>
          <w:szCs w:val="28"/>
          <w:lang w:eastAsia="zh-CN"/>
        </w:rPr>
        <w:t>出</w:t>
      </w:r>
      <w:r>
        <w:rPr>
          <w:rFonts w:hint="eastAsia" w:asciiTheme="minorEastAsia" w:hAnsiTheme="minorEastAsia" w:eastAsiaTheme="minorEastAsia"/>
          <w:color w:val="000000"/>
          <w:sz w:val="28"/>
          <w:szCs w:val="28"/>
        </w:rPr>
        <w:t>决算总体情况</w:t>
      </w:r>
      <w:r>
        <w:rPr>
          <w:rFonts w:hint="eastAsia" w:asciiTheme="minorEastAsia" w:hAnsiTheme="minorEastAsia" w:eastAsiaTheme="minorEastAsia"/>
          <w:color w:val="000000"/>
          <w:sz w:val="28"/>
          <w:szCs w:val="28"/>
          <w:lang w:eastAsia="zh-CN"/>
        </w:rPr>
        <w:t>说明</w:t>
      </w:r>
    </w:p>
    <w:p>
      <w:pPr>
        <w:spacing w:line="6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rPr>
        <w:t>2020年</w:t>
      </w:r>
      <w:r>
        <w:rPr>
          <w:rFonts w:hint="eastAsia" w:ascii="仿宋" w:hAnsi="仿宋" w:eastAsia="仿宋"/>
          <w:color w:val="000000"/>
          <w:sz w:val="32"/>
          <w:szCs w:val="32"/>
          <w:lang w:eastAsia="zh-CN"/>
        </w:rPr>
        <w:t>学校收入总计</w:t>
      </w:r>
      <w:r>
        <w:rPr>
          <w:rFonts w:hint="eastAsia" w:ascii="仿宋" w:hAnsi="仿宋" w:eastAsia="仿宋"/>
          <w:color w:val="000000"/>
          <w:sz w:val="32"/>
          <w:szCs w:val="32"/>
          <w:lang w:val="en-US" w:eastAsia="zh-CN"/>
        </w:rPr>
        <w:t>1267.49万元，其中</w:t>
      </w:r>
      <w:r>
        <w:rPr>
          <w:rFonts w:hint="eastAsia" w:ascii="仿宋" w:hAnsi="仿宋" w:eastAsia="仿宋"/>
          <w:color w:val="000000"/>
          <w:sz w:val="32"/>
          <w:szCs w:val="32"/>
        </w:rPr>
        <w:t>本年收入合计1172.3万元，</w:t>
      </w:r>
      <w:r>
        <w:rPr>
          <w:rFonts w:hint="eastAsia" w:ascii="仿宋" w:hAnsi="仿宋" w:eastAsia="仿宋"/>
          <w:color w:val="000000"/>
          <w:sz w:val="32"/>
          <w:szCs w:val="32"/>
          <w:lang w:eastAsia="zh-CN"/>
        </w:rPr>
        <w:t>年初结转资金</w:t>
      </w:r>
      <w:r>
        <w:rPr>
          <w:rFonts w:hint="eastAsia" w:ascii="仿宋" w:hAnsi="仿宋" w:eastAsia="仿宋"/>
          <w:color w:val="000000"/>
          <w:sz w:val="32"/>
          <w:szCs w:val="32"/>
          <w:lang w:val="en-US" w:eastAsia="zh-CN"/>
        </w:rPr>
        <w:t>95．18万元。</w:t>
      </w:r>
      <w:r>
        <w:rPr>
          <w:rFonts w:hint="eastAsia" w:ascii="仿宋" w:hAnsi="仿宋" w:eastAsia="仿宋"/>
          <w:color w:val="000000"/>
          <w:sz w:val="32"/>
          <w:szCs w:val="32"/>
        </w:rPr>
        <w:t>与2019年相比，收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127.65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11.2</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rPr>
        <w:t>2020年本年支出合计1158.97万元（含上年结转资金95</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8万</w:t>
      </w:r>
      <w:r>
        <w:rPr>
          <w:rFonts w:hint="eastAsia" w:ascii="仿宋" w:hAnsi="仿宋" w:eastAsia="仿宋"/>
          <w:color w:val="000000"/>
          <w:sz w:val="32"/>
          <w:szCs w:val="32"/>
        </w:rPr>
        <w:t>元），其中：基本支出793.53万元，占68.5%，项目支出365.44万元,占32.5%。与2019年相比，</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60.32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5.5</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w:t>
      </w:r>
    </w:p>
    <w:p>
      <w:pPr>
        <w:pStyle w:val="12"/>
        <w:numPr>
          <w:ilvl w:val="0"/>
          <w:numId w:val="0"/>
        </w:numPr>
        <w:spacing w:line="600" w:lineRule="exact"/>
        <w:ind w:left="630" w:leftChars="0"/>
        <w:outlineLvl w:val="1"/>
        <w:rPr>
          <w:rStyle w:val="13"/>
          <w:rFonts w:hint="eastAsia" w:ascii="宋体" w:hAnsi="宋体" w:eastAsia="宋体" w:cs="宋体"/>
          <w:b w:val="0"/>
          <w:bCs w:val="0"/>
        </w:rPr>
      </w:pPr>
      <w:bookmarkStart w:id="6" w:name="_Toc15377206"/>
      <w:bookmarkStart w:id="7" w:name="_Toc15396604"/>
      <w:r>
        <w:rPr>
          <w:rFonts w:hint="eastAsia" w:ascii="宋体" w:hAnsi="宋体" w:eastAsia="宋体" w:cs="宋体"/>
          <w:b w:val="0"/>
          <w:bCs w:val="0"/>
          <w:color w:val="000000"/>
          <w:sz w:val="32"/>
          <w:szCs w:val="32"/>
          <w:lang w:eastAsia="zh-CN"/>
        </w:rPr>
        <w:t>二、</w:t>
      </w:r>
      <w:r>
        <w:rPr>
          <w:rFonts w:hint="eastAsia" w:ascii="宋体" w:hAnsi="宋体" w:eastAsia="宋体" w:cs="宋体"/>
          <w:b w:val="0"/>
          <w:bCs w:val="0"/>
          <w:color w:val="000000"/>
          <w:sz w:val="32"/>
          <w:szCs w:val="32"/>
        </w:rPr>
        <w:t>收</w:t>
      </w:r>
      <w:r>
        <w:rPr>
          <w:rStyle w:val="13"/>
          <w:rFonts w:hint="eastAsia" w:ascii="宋体" w:hAnsi="宋体" w:eastAsia="宋体" w:cs="宋体"/>
          <w:b w:val="0"/>
          <w:bCs w:val="0"/>
        </w:rPr>
        <w:t>入决算情况说明</w:t>
      </w:r>
      <w:bookmarkEnd w:id="6"/>
      <w:bookmarkEnd w:id="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Theme="minorEastAsia" w:hAnsiTheme="minorEastAsia" w:eastAsiaTheme="minorEastAsia"/>
          <w:color w:val="000000"/>
          <w:sz w:val="28"/>
          <w:szCs w:val="28"/>
          <w:lang w:val="en-US" w:eastAsia="zh-CN"/>
        </w:rPr>
        <w:t>1267.49</w:t>
      </w:r>
      <w:r>
        <w:rPr>
          <w:rFonts w:hint="eastAsia" w:ascii="仿宋" w:hAnsi="仿宋" w:eastAsia="仿宋"/>
          <w:color w:val="000000"/>
          <w:sz w:val="32"/>
          <w:szCs w:val="32"/>
        </w:rPr>
        <w:t>万元，其中：一般公共预算财政拨款收入</w:t>
      </w:r>
      <w:r>
        <w:rPr>
          <w:rFonts w:hint="eastAsia" w:asciiTheme="minorEastAsia" w:hAnsiTheme="minorEastAsia" w:eastAsiaTheme="minorEastAsia"/>
          <w:color w:val="000000"/>
          <w:sz w:val="28"/>
          <w:szCs w:val="28"/>
          <w:lang w:val="en-US" w:eastAsia="zh-CN"/>
        </w:rPr>
        <w:t>1267.49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pStyle w:val="12"/>
        <w:numPr>
          <w:ilvl w:val="0"/>
          <w:numId w:val="0"/>
        </w:numPr>
        <w:spacing w:line="600" w:lineRule="exact"/>
        <w:ind w:left="630" w:leftChars="0"/>
        <w:outlineLvl w:val="1"/>
        <w:rPr>
          <w:rStyle w:val="13"/>
          <w:rFonts w:hint="eastAsia" w:ascii="宋体" w:hAnsi="宋体" w:eastAsia="宋体" w:cs="宋体"/>
          <w:b w:val="0"/>
          <w:bCs w:val="0"/>
        </w:rPr>
      </w:pPr>
      <w:bookmarkStart w:id="8" w:name="_Toc15377207"/>
      <w:bookmarkStart w:id="9" w:name="_Toc15396605"/>
      <w:r>
        <w:rPr>
          <w:rFonts w:hint="eastAsia" w:ascii="宋体" w:hAnsi="宋体" w:eastAsia="宋体" w:cs="宋体"/>
          <w:b w:val="0"/>
          <w:bCs w:val="0"/>
          <w:color w:val="000000"/>
          <w:sz w:val="32"/>
          <w:szCs w:val="32"/>
          <w:lang w:eastAsia="zh-CN"/>
        </w:rPr>
        <w:t>三、</w:t>
      </w:r>
      <w:r>
        <w:rPr>
          <w:rFonts w:hint="eastAsia" w:ascii="宋体" w:hAnsi="宋体" w:eastAsia="宋体" w:cs="宋体"/>
          <w:b w:val="0"/>
          <w:bCs w:val="0"/>
          <w:color w:val="000000"/>
          <w:sz w:val="32"/>
          <w:szCs w:val="32"/>
        </w:rPr>
        <w:t>支</w:t>
      </w:r>
      <w:r>
        <w:rPr>
          <w:rStyle w:val="13"/>
          <w:rFonts w:hint="eastAsia" w:ascii="宋体" w:hAnsi="宋体" w:eastAsia="宋体" w:cs="宋体"/>
          <w:b w:val="0"/>
          <w:bCs w:val="0"/>
        </w:rPr>
        <w:t>出决算情况说明</w:t>
      </w:r>
      <w:bookmarkEnd w:id="8"/>
      <w:bookmarkEnd w:id="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1158.97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793.53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68.47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365.44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31.53</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640" w:firstLineChars="200"/>
        <w:rPr>
          <w:rFonts w:hint="eastAsia" w:ascii="宋体" w:hAnsi="宋体" w:eastAsia="宋体" w:cs="宋体"/>
          <w:color w:val="000000"/>
          <w:sz w:val="32"/>
          <w:szCs w:val="32"/>
          <w:lang w:eastAsia="zh-CN"/>
        </w:rPr>
      </w:pPr>
      <w:r>
        <w:rPr>
          <w:rFonts w:hint="eastAsia" w:ascii="宋体" w:hAnsi="宋体" w:cs="宋体"/>
          <w:color w:val="000000"/>
          <w:sz w:val="32"/>
          <w:szCs w:val="32"/>
          <w:lang w:eastAsia="zh-CN"/>
        </w:rPr>
        <w:t>四</w:t>
      </w:r>
      <w:r>
        <w:rPr>
          <w:rFonts w:hint="eastAsia" w:ascii="宋体" w:hAnsi="宋体" w:eastAsia="宋体" w:cs="宋体"/>
          <w:color w:val="000000"/>
          <w:sz w:val="32"/>
          <w:szCs w:val="32"/>
          <w:lang w:eastAsia="zh-CN"/>
        </w:rPr>
        <w:t>、财政拨款收</w:t>
      </w:r>
      <w:r>
        <w:rPr>
          <w:rFonts w:hint="eastAsia" w:ascii="宋体" w:hAnsi="宋体" w:cs="宋体"/>
          <w:color w:val="000000"/>
          <w:sz w:val="32"/>
          <w:szCs w:val="32"/>
          <w:lang w:eastAsia="zh-CN"/>
        </w:rPr>
        <w:t>入</w:t>
      </w:r>
      <w:r>
        <w:rPr>
          <w:rFonts w:hint="eastAsia" w:ascii="宋体" w:hAnsi="宋体" w:eastAsia="宋体" w:cs="宋体"/>
          <w:color w:val="000000"/>
          <w:sz w:val="32"/>
          <w:szCs w:val="32"/>
          <w:lang w:eastAsia="zh-CN"/>
        </w:rPr>
        <w:t>支</w:t>
      </w:r>
      <w:r>
        <w:rPr>
          <w:rFonts w:hint="eastAsia" w:ascii="宋体" w:hAnsi="宋体" w:cs="宋体"/>
          <w:color w:val="000000"/>
          <w:sz w:val="32"/>
          <w:szCs w:val="32"/>
          <w:lang w:eastAsia="zh-CN"/>
        </w:rPr>
        <w:t>出</w:t>
      </w:r>
      <w:r>
        <w:rPr>
          <w:rFonts w:hint="eastAsia" w:ascii="宋体" w:hAnsi="宋体" w:eastAsia="宋体" w:cs="宋体"/>
          <w:color w:val="000000"/>
          <w:sz w:val="32"/>
          <w:szCs w:val="32"/>
          <w:lang w:eastAsia="zh-CN"/>
        </w:rPr>
        <w:t>决算</w:t>
      </w:r>
      <w:r>
        <w:rPr>
          <w:rFonts w:hint="eastAsia" w:ascii="宋体" w:hAnsi="宋体" w:cs="宋体"/>
          <w:color w:val="000000"/>
          <w:sz w:val="32"/>
          <w:szCs w:val="32"/>
          <w:lang w:eastAsia="zh-CN"/>
        </w:rPr>
        <w:t>总体</w:t>
      </w:r>
      <w:r>
        <w:rPr>
          <w:rFonts w:hint="eastAsia" w:ascii="宋体" w:hAnsi="宋体" w:eastAsia="宋体" w:cs="宋体"/>
          <w:color w:val="000000"/>
          <w:sz w:val="32"/>
          <w:szCs w:val="32"/>
          <w:lang w:eastAsia="zh-CN"/>
        </w:rPr>
        <w:t>情况</w:t>
      </w:r>
      <w:r>
        <w:rPr>
          <w:rFonts w:hint="eastAsia" w:ascii="宋体" w:hAnsi="宋体" w:cs="宋体"/>
          <w:color w:val="000000"/>
          <w:sz w:val="32"/>
          <w:szCs w:val="32"/>
          <w:lang w:eastAsia="zh-CN"/>
        </w:rPr>
        <w:t>说明</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2020年度财政拨款收入总决算</w:t>
      </w:r>
      <w:r>
        <w:rPr>
          <w:rFonts w:ascii="仿宋" w:hAnsi="仿宋" w:eastAsia="仿宋"/>
          <w:color w:val="000000"/>
          <w:sz w:val="32"/>
          <w:szCs w:val="32"/>
        </w:rPr>
        <w:t>1172.3</w:t>
      </w:r>
      <w:r>
        <w:rPr>
          <w:rFonts w:hint="eastAsia" w:ascii="仿宋" w:hAnsi="仿宋" w:eastAsia="仿宋"/>
          <w:color w:val="000000"/>
          <w:sz w:val="32"/>
          <w:szCs w:val="32"/>
        </w:rPr>
        <w:t>万元。与201</w:t>
      </w:r>
      <w:r>
        <w:rPr>
          <w:rFonts w:ascii="仿宋" w:hAnsi="仿宋" w:eastAsia="仿宋"/>
          <w:color w:val="000000"/>
          <w:sz w:val="32"/>
          <w:szCs w:val="32"/>
        </w:rPr>
        <w:t>9</w:t>
      </w:r>
      <w:r>
        <w:rPr>
          <w:rFonts w:hint="eastAsia" w:ascii="仿宋" w:hAnsi="仿宋" w:eastAsia="仿宋"/>
          <w:color w:val="000000"/>
          <w:sz w:val="32"/>
          <w:szCs w:val="32"/>
        </w:rPr>
        <w:t>年相比，财政拨款收入总计增加</w:t>
      </w:r>
      <w:r>
        <w:rPr>
          <w:rFonts w:hint="eastAsia" w:ascii="仿宋" w:hAnsi="仿宋" w:eastAsia="仿宋"/>
          <w:color w:val="000000"/>
          <w:sz w:val="32"/>
          <w:szCs w:val="32"/>
          <w:lang w:eastAsia="zh-CN"/>
        </w:rPr>
        <w:t>32.46</w:t>
      </w:r>
      <w:r>
        <w:rPr>
          <w:rFonts w:hint="eastAsia" w:ascii="仿宋" w:hAnsi="仿宋" w:eastAsia="仿宋"/>
          <w:color w:val="000000"/>
          <w:sz w:val="32"/>
          <w:szCs w:val="32"/>
        </w:rPr>
        <w:t>万元，增加</w:t>
      </w:r>
      <w:r>
        <w:rPr>
          <w:rFonts w:hint="eastAsia" w:ascii="仿宋" w:hAnsi="仿宋" w:eastAsia="仿宋"/>
          <w:color w:val="000000"/>
          <w:sz w:val="32"/>
          <w:szCs w:val="32"/>
          <w:lang w:eastAsia="zh-CN"/>
        </w:rPr>
        <w:t>2</w:t>
      </w:r>
      <w:r>
        <w:rPr>
          <w:rFonts w:ascii="仿宋" w:hAnsi="仿宋" w:eastAsia="仿宋"/>
          <w:color w:val="000000"/>
          <w:sz w:val="32"/>
          <w:szCs w:val="32"/>
        </w:rPr>
        <w:t>.8</w:t>
      </w:r>
      <w:r>
        <w:rPr>
          <w:rFonts w:hint="eastAsia" w:ascii="仿宋" w:hAnsi="仿宋" w:eastAsia="仿宋"/>
          <w:color w:val="000000"/>
          <w:sz w:val="32"/>
          <w:szCs w:val="32"/>
        </w:rPr>
        <w:t>%。20</w:t>
      </w:r>
      <w:r>
        <w:rPr>
          <w:rFonts w:ascii="仿宋" w:hAnsi="仿宋" w:eastAsia="仿宋"/>
          <w:color w:val="000000"/>
          <w:sz w:val="32"/>
          <w:szCs w:val="32"/>
        </w:rPr>
        <w:t>20</w:t>
      </w:r>
      <w:r>
        <w:rPr>
          <w:rFonts w:hint="eastAsia" w:ascii="仿宋" w:hAnsi="仿宋" w:eastAsia="仿宋"/>
          <w:color w:val="000000"/>
          <w:sz w:val="32"/>
          <w:szCs w:val="32"/>
        </w:rPr>
        <w:t>年度财政拨款支出总决算</w:t>
      </w:r>
      <w:r>
        <w:rPr>
          <w:rFonts w:ascii="仿宋" w:hAnsi="仿宋" w:eastAsia="仿宋"/>
          <w:color w:val="000000"/>
          <w:sz w:val="32"/>
          <w:szCs w:val="32"/>
        </w:rPr>
        <w:t>1158.97</w:t>
      </w:r>
      <w:r>
        <w:rPr>
          <w:rFonts w:hint="eastAsia" w:ascii="仿宋" w:hAnsi="仿宋" w:eastAsia="仿宋"/>
          <w:color w:val="000000"/>
          <w:sz w:val="32"/>
          <w:szCs w:val="32"/>
        </w:rPr>
        <w:t>万元。与201</w:t>
      </w:r>
      <w:r>
        <w:rPr>
          <w:rFonts w:ascii="仿宋" w:hAnsi="仿宋" w:eastAsia="仿宋"/>
          <w:color w:val="000000"/>
          <w:sz w:val="32"/>
          <w:szCs w:val="32"/>
        </w:rPr>
        <w:t>9</w:t>
      </w:r>
      <w:r>
        <w:rPr>
          <w:rFonts w:hint="eastAsia" w:ascii="仿宋" w:hAnsi="仿宋" w:eastAsia="仿宋"/>
          <w:color w:val="000000"/>
          <w:sz w:val="32"/>
          <w:szCs w:val="32"/>
        </w:rPr>
        <w:t>年相比，财政拨款支出总计增加</w:t>
      </w:r>
      <w:r>
        <w:rPr>
          <w:rFonts w:ascii="仿宋" w:hAnsi="仿宋" w:eastAsia="仿宋"/>
          <w:color w:val="000000"/>
          <w:sz w:val="32"/>
          <w:szCs w:val="32"/>
        </w:rPr>
        <w:t>294.45</w:t>
      </w:r>
      <w:r>
        <w:rPr>
          <w:rFonts w:hint="eastAsia" w:ascii="仿宋" w:hAnsi="仿宋" w:eastAsia="仿宋"/>
          <w:color w:val="000000"/>
          <w:sz w:val="32"/>
          <w:szCs w:val="32"/>
        </w:rPr>
        <w:t>万元，增加</w:t>
      </w:r>
      <w:r>
        <w:rPr>
          <w:rFonts w:ascii="仿宋" w:hAnsi="仿宋" w:eastAsia="仿宋"/>
          <w:color w:val="000000"/>
          <w:sz w:val="32"/>
          <w:szCs w:val="32"/>
        </w:rPr>
        <w:t>34.06</w:t>
      </w:r>
      <w:r>
        <w:rPr>
          <w:rFonts w:hint="eastAsia" w:ascii="仿宋" w:hAnsi="仿宋" w:eastAsia="仿宋"/>
          <w:color w:val="000000"/>
          <w:sz w:val="32"/>
          <w:szCs w:val="32"/>
        </w:rPr>
        <w:t>%。</w:t>
      </w:r>
    </w:p>
    <w:p>
      <w:pPr>
        <w:pStyle w:val="12"/>
        <w:numPr>
          <w:ilvl w:val="0"/>
          <w:numId w:val="0"/>
        </w:numPr>
        <w:spacing w:line="600" w:lineRule="exact"/>
        <w:ind w:left="630" w:leftChars="0"/>
        <w:outlineLvl w:val="1"/>
        <w:rPr>
          <w:rFonts w:hint="eastAsia" w:ascii="宋体" w:hAnsi="宋体" w:eastAsia="宋体" w:cs="宋体"/>
          <w:b w:val="0"/>
          <w:bCs w:val="0"/>
          <w:color w:val="000000"/>
          <w:sz w:val="32"/>
          <w:szCs w:val="32"/>
          <w:lang w:eastAsia="zh-CN"/>
        </w:rPr>
      </w:pPr>
      <w:r>
        <w:rPr>
          <w:rFonts w:hint="eastAsia" w:ascii="宋体" w:hAnsi="宋体" w:eastAsia="宋体" w:cs="宋体"/>
          <w:b w:val="0"/>
          <w:bCs w:val="0"/>
          <w:color w:val="000000"/>
          <w:sz w:val="32"/>
          <w:szCs w:val="32"/>
          <w:lang w:eastAsia="zh-CN"/>
        </w:rPr>
        <w:t>五、一般公共预算财政拨款支出决算情况</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（一）一般公共预算财政拨款支出决算总体情况</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2020年度一般公共预算财政拨款支出总决算1158.97万元。与2019年相比，一般公共预算财政拨款支出总计增加38.97万元，增加3.5%。</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（二）一般公共预算财政拨款支出决算结构情况</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2020年一般公共预算财政拨款支出1158.97万元，主要用于小学教育支出874.9万元，占一般公共预算财政拨款支出75.5%, 社会保障和就业支出93.56万元,占一般公共预算财政拨款支出8.1%，其他医疗保险和住房公积金支出126.11万元，占一般公共预算财政拨款支出10.8%,其他支出64.4万元,占一般公共预算财政拨款支出5.6%。</w:t>
      </w:r>
    </w:p>
    <w:p>
      <w:pPr>
        <w:pStyle w:val="12"/>
        <w:numPr>
          <w:ilvl w:val="0"/>
          <w:numId w:val="0"/>
        </w:numPr>
        <w:spacing w:line="600" w:lineRule="exact"/>
        <w:ind w:left="630" w:leftChars="0"/>
        <w:outlineLvl w:val="1"/>
        <w:rPr>
          <w:rFonts w:hint="eastAsia" w:ascii="宋体" w:hAnsi="宋体" w:eastAsia="宋体" w:cs="宋体"/>
          <w:b w:val="0"/>
          <w:bCs w:val="0"/>
          <w:color w:val="000000"/>
          <w:sz w:val="32"/>
          <w:szCs w:val="32"/>
          <w:lang w:eastAsia="zh-CN"/>
        </w:rPr>
      </w:pPr>
      <w:r>
        <w:rPr>
          <w:rFonts w:hint="eastAsia" w:ascii="宋体" w:hAnsi="宋体" w:eastAsia="宋体" w:cs="宋体"/>
          <w:b w:val="0"/>
          <w:bCs w:val="0"/>
          <w:color w:val="000000"/>
          <w:sz w:val="32"/>
          <w:szCs w:val="32"/>
          <w:lang w:eastAsia="zh-CN"/>
        </w:rPr>
        <w:t>六、一般公共预算财政拨款基本支出决算情况</w:t>
      </w:r>
    </w:p>
    <w:p>
      <w:pPr>
        <w:spacing w:line="36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全年</w:t>
      </w:r>
      <w:r>
        <w:rPr>
          <w:rFonts w:hint="eastAsia" w:asciiTheme="minorEastAsia" w:hAnsiTheme="minorEastAsia" w:eastAsiaTheme="minorEastAsia"/>
          <w:sz w:val="28"/>
          <w:szCs w:val="28"/>
          <w:lang w:eastAsia="zh-CN"/>
        </w:rPr>
        <w:t>支出</w:t>
      </w:r>
      <w:r>
        <w:rPr>
          <w:rFonts w:hint="eastAsia" w:asciiTheme="minorEastAsia" w:hAnsiTheme="minorEastAsia" w:eastAsiaTheme="minorEastAsia"/>
          <w:sz w:val="28"/>
          <w:szCs w:val="28"/>
        </w:rPr>
        <w:t>合计</w:t>
      </w:r>
      <w:r>
        <w:rPr>
          <w:rFonts w:asciiTheme="minorEastAsia" w:hAnsiTheme="minorEastAsia" w:eastAsiaTheme="minorEastAsia"/>
          <w:sz w:val="28"/>
          <w:szCs w:val="28"/>
        </w:rPr>
        <w:t>793.53</w:t>
      </w:r>
      <w:r>
        <w:rPr>
          <w:rFonts w:hint="eastAsia" w:asciiTheme="minorEastAsia" w:hAnsiTheme="minorEastAsia" w:eastAsiaTheme="minorEastAsia"/>
          <w:sz w:val="28"/>
          <w:szCs w:val="28"/>
        </w:rPr>
        <w:t>万元，其中：</w:t>
      </w:r>
    </w:p>
    <w:p>
      <w:pPr>
        <w:spacing w:line="36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1、工资福利支出</w:t>
      </w:r>
      <w:r>
        <w:rPr>
          <w:rFonts w:asciiTheme="minorEastAsia" w:hAnsiTheme="minorEastAsia" w:eastAsiaTheme="minorEastAsia"/>
          <w:sz w:val="28"/>
          <w:szCs w:val="28"/>
        </w:rPr>
        <w:t>746.12</w:t>
      </w:r>
      <w:r>
        <w:rPr>
          <w:rFonts w:hint="eastAsia" w:asciiTheme="minorEastAsia" w:hAnsiTheme="minorEastAsia" w:eastAsiaTheme="minorEastAsia"/>
          <w:sz w:val="28"/>
          <w:szCs w:val="28"/>
        </w:rPr>
        <w:t>万元。其中：</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（一）、基本工资33</w:t>
      </w:r>
      <w:r>
        <w:rPr>
          <w:rFonts w:asciiTheme="minorEastAsia" w:hAnsiTheme="minorEastAsia" w:eastAsiaTheme="minorEastAsia"/>
          <w:sz w:val="28"/>
          <w:szCs w:val="28"/>
        </w:rPr>
        <w:t>3.65</w:t>
      </w:r>
      <w:r>
        <w:rPr>
          <w:rFonts w:hint="eastAsia" w:asciiTheme="minorEastAsia" w:hAnsiTheme="minorEastAsia" w:eastAsiaTheme="minorEastAsia"/>
          <w:sz w:val="28"/>
          <w:szCs w:val="28"/>
        </w:rPr>
        <w:t xml:space="preserve">万元； </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（二）、津贴补贴</w:t>
      </w:r>
      <w:r>
        <w:rPr>
          <w:rFonts w:asciiTheme="minorEastAsia" w:hAnsiTheme="minorEastAsia" w:eastAsiaTheme="minorEastAsia"/>
          <w:sz w:val="28"/>
          <w:szCs w:val="28"/>
        </w:rPr>
        <w:t>7.7</w:t>
      </w:r>
      <w:r>
        <w:rPr>
          <w:rFonts w:hint="eastAsia" w:asciiTheme="minorEastAsia" w:hAnsiTheme="minorEastAsia" w:eastAsiaTheme="minorEastAsia"/>
          <w:sz w:val="28"/>
          <w:szCs w:val="28"/>
        </w:rPr>
        <w:t>万元；</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（三）、其他社会保障缴费</w:t>
      </w:r>
      <w:r>
        <w:rPr>
          <w:rFonts w:asciiTheme="minorEastAsia" w:hAnsiTheme="minorEastAsia" w:eastAsiaTheme="minorEastAsia"/>
          <w:sz w:val="28"/>
          <w:szCs w:val="28"/>
        </w:rPr>
        <w:t>4.25</w:t>
      </w:r>
      <w:r>
        <w:rPr>
          <w:rFonts w:hint="eastAsia" w:asciiTheme="minorEastAsia" w:hAnsiTheme="minorEastAsia" w:eastAsiaTheme="minorEastAsia"/>
          <w:sz w:val="28"/>
          <w:szCs w:val="28"/>
        </w:rPr>
        <w:t>万元；</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（四）、绩效工资</w:t>
      </w:r>
      <w:r>
        <w:rPr>
          <w:rFonts w:asciiTheme="minorEastAsia" w:hAnsiTheme="minorEastAsia" w:eastAsiaTheme="minorEastAsia"/>
          <w:sz w:val="28"/>
          <w:szCs w:val="28"/>
        </w:rPr>
        <w:t>199.57</w:t>
      </w:r>
      <w:r>
        <w:rPr>
          <w:rFonts w:hint="eastAsia" w:asciiTheme="minorEastAsia" w:hAnsiTheme="minorEastAsia" w:eastAsiaTheme="minorEastAsia"/>
          <w:sz w:val="28"/>
          <w:szCs w:val="28"/>
        </w:rPr>
        <w:t>万元；</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（五）、基本养老保险缴费</w:t>
      </w:r>
      <w:r>
        <w:rPr>
          <w:rFonts w:asciiTheme="minorEastAsia" w:hAnsiTheme="minorEastAsia" w:eastAsiaTheme="minorEastAsia"/>
          <w:sz w:val="28"/>
          <w:szCs w:val="28"/>
        </w:rPr>
        <w:t>84.06</w:t>
      </w:r>
      <w:r>
        <w:rPr>
          <w:rFonts w:hint="eastAsia" w:asciiTheme="minorEastAsia" w:hAnsiTheme="minorEastAsia" w:eastAsiaTheme="minorEastAsia"/>
          <w:sz w:val="28"/>
          <w:szCs w:val="28"/>
        </w:rPr>
        <w:t>万元；</w:t>
      </w:r>
    </w:p>
    <w:p>
      <w:pPr>
        <w:spacing w:line="36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(六)、职工基本医疗保险缴费</w:t>
      </w:r>
      <w:r>
        <w:rPr>
          <w:rFonts w:asciiTheme="minorEastAsia" w:hAnsiTheme="minorEastAsia" w:eastAsiaTheme="minorEastAsia"/>
          <w:sz w:val="28"/>
          <w:szCs w:val="28"/>
        </w:rPr>
        <w:t>52.67</w:t>
      </w:r>
      <w:r>
        <w:rPr>
          <w:rFonts w:hint="eastAsia" w:asciiTheme="minorEastAsia" w:hAnsiTheme="minorEastAsia" w:eastAsiaTheme="minorEastAsia"/>
          <w:sz w:val="28"/>
          <w:szCs w:val="28"/>
        </w:rPr>
        <w:t>万元；</w:t>
      </w:r>
    </w:p>
    <w:p>
      <w:pPr>
        <w:spacing w:line="36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（七）、住房公积金64.</w:t>
      </w:r>
      <w:r>
        <w:rPr>
          <w:rFonts w:asciiTheme="minorEastAsia" w:hAnsiTheme="minorEastAsia" w:eastAsiaTheme="minorEastAsia"/>
          <w:sz w:val="28"/>
          <w:szCs w:val="28"/>
        </w:rPr>
        <w:t>19</w:t>
      </w:r>
      <w:r>
        <w:rPr>
          <w:rFonts w:hint="eastAsia" w:asciiTheme="minorEastAsia" w:hAnsiTheme="minorEastAsia" w:eastAsiaTheme="minorEastAsia"/>
          <w:sz w:val="28"/>
          <w:szCs w:val="28"/>
        </w:rPr>
        <w:t>万元。</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2、商品和服务支出</w:t>
      </w:r>
      <w:r>
        <w:rPr>
          <w:rFonts w:asciiTheme="minorEastAsia" w:hAnsiTheme="minorEastAsia" w:eastAsiaTheme="minorEastAsia"/>
          <w:sz w:val="28"/>
          <w:szCs w:val="28"/>
        </w:rPr>
        <w:t>37.53</w:t>
      </w:r>
      <w:r>
        <w:rPr>
          <w:rFonts w:hint="eastAsia" w:asciiTheme="minorEastAsia" w:hAnsiTheme="minorEastAsia" w:eastAsiaTheme="minorEastAsia"/>
          <w:sz w:val="28"/>
          <w:szCs w:val="28"/>
        </w:rPr>
        <w:t>万元。其中：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2"/>
        <w:rPr>
          <w:rFonts w:hint="eastAsia" w:ascii="仿宋" w:hAnsi="仿宋" w:eastAsia="仿宋"/>
          <w:color w:val="000000" w:themeColor="text1"/>
          <w:sz w:val="30"/>
          <w:szCs w:val="30"/>
          <w:lang w:eastAsia="zh-CN"/>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eastAsia="zh-CN"/>
          <w14:textFill>
            <w14:solidFill>
              <w14:schemeClr w14:val="tx1"/>
            </w14:solidFill>
          </w14:textFill>
        </w:rPr>
        <w:t>一）、办公费9.45万元；（二）、水费0.2万元；（三）、电费0.3万元；（四）、邮电费0.2万元；（五）、物业管理费2.7万元；（（六）、差旅费0.1万元；七）、维修费2.6万元；（八）、租赁费0.6万元；（九）、培训费1万元；（十）、劳务费3万元；（十一）、工会经费10.6万元；（十二）、福利费6万元；（十三）、其他商品和服务支出0.6万元。</w:t>
      </w:r>
    </w:p>
    <w:p>
      <w:pPr>
        <w:spacing w:line="44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3、对个人和家庭的补助支出9</w:t>
      </w:r>
      <w:r>
        <w:rPr>
          <w:rFonts w:asciiTheme="minorEastAsia" w:hAnsiTheme="minorEastAsia" w:eastAsiaTheme="minorEastAsia"/>
          <w:sz w:val="28"/>
          <w:szCs w:val="28"/>
        </w:rPr>
        <w:t>.88</w:t>
      </w:r>
      <w:r>
        <w:rPr>
          <w:rFonts w:hint="eastAsia" w:asciiTheme="minorEastAsia" w:hAnsiTheme="minorEastAsia" w:eastAsiaTheme="minorEastAsia"/>
          <w:sz w:val="28"/>
          <w:szCs w:val="28"/>
        </w:rPr>
        <w:t>万元。其中：</w:t>
      </w:r>
    </w:p>
    <w:p>
      <w:pPr>
        <w:spacing w:line="600" w:lineRule="exact"/>
        <w:ind w:firstLine="600" w:firstLineChars="200"/>
        <w:outlineLvl w:val="2"/>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（一）、离退休费 0元 ；（二）、医疗费0元</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（三）、生活补助9.88万元。(遗属补助)</w:t>
      </w:r>
    </w:p>
    <w:p>
      <w:pPr>
        <w:pStyle w:val="12"/>
        <w:numPr>
          <w:ilvl w:val="0"/>
          <w:numId w:val="0"/>
        </w:numPr>
        <w:spacing w:line="600" w:lineRule="exact"/>
        <w:ind w:left="630" w:leftChars="0"/>
        <w:outlineLvl w:val="1"/>
        <w:rPr>
          <w:rFonts w:hint="eastAsia" w:ascii="宋体" w:hAnsi="宋体" w:eastAsia="宋体" w:cs="宋体"/>
          <w:b w:val="0"/>
          <w:bCs w:val="0"/>
          <w:color w:val="000000"/>
          <w:sz w:val="32"/>
          <w:szCs w:val="32"/>
          <w:lang w:eastAsia="zh-CN"/>
        </w:rPr>
      </w:pPr>
      <w:r>
        <w:rPr>
          <w:rFonts w:hint="eastAsia" w:ascii="宋体" w:hAnsi="宋体" w:eastAsia="宋体" w:cs="宋体"/>
          <w:b w:val="0"/>
          <w:bCs w:val="0"/>
          <w:color w:val="000000"/>
          <w:sz w:val="32"/>
          <w:szCs w:val="32"/>
          <w:lang w:eastAsia="zh-CN"/>
        </w:rPr>
        <w:t>七、“三公”经费财政拨款支出决算情况说明</w:t>
      </w:r>
    </w:p>
    <w:p>
      <w:pPr>
        <w:spacing w:line="600" w:lineRule="exact"/>
        <w:ind w:firstLine="600" w:firstLineChars="200"/>
        <w:outlineLvl w:val="2"/>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2020年度“三公”经费财政拨款支出决算为0元。 </w:t>
      </w:r>
    </w:p>
    <w:p>
      <w:pPr>
        <w:pStyle w:val="12"/>
        <w:numPr>
          <w:ilvl w:val="0"/>
          <w:numId w:val="0"/>
        </w:numPr>
        <w:spacing w:line="600" w:lineRule="exact"/>
        <w:ind w:left="630" w:leftChars="0"/>
        <w:outlineLvl w:val="1"/>
        <w:rPr>
          <w:rFonts w:hint="eastAsia" w:ascii="宋体" w:hAnsi="宋体" w:eastAsia="宋体" w:cs="宋体"/>
          <w:b w:val="0"/>
          <w:bCs w:val="0"/>
          <w:color w:val="000000"/>
          <w:sz w:val="32"/>
          <w:szCs w:val="32"/>
          <w:lang w:eastAsia="zh-CN"/>
        </w:rPr>
      </w:pPr>
      <w:r>
        <w:rPr>
          <w:rFonts w:hint="eastAsia" w:ascii="宋体" w:hAnsi="宋体" w:eastAsia="宋体" w:cs="宋体"/>
          <w:b w:val="0"/>
          <w:bCs w:val="0"/>
          <w:color w:val="000000"/>
          <w:sz w:val="32"/>
          <w:szCs w:val="32"/>
          <w:lang w:eastAsia="zh-CN"/>
        </w:rPr>
        <w:t>八、政府性基金预算财政拨款支出决算情况说明</w:t>
      </w:r>
    </w:p>
    <w:p>
      <w:pPr>
        <w:spacing w:line="600" w:lineRule="exact"/>
        <w:ind w:firstLine="600" w:firstLineChars="200"/>
        <w:outlineLvl w:val="2"/>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2020年度无政府性基金财政拨款,支出决算为0元。</w:t>
      </w:r>
    </w:p>
    <w:p>
      <w:pPr>
        <w:pStyle w:val="12"/>
        <w:numPr>
          <w:ilvl w:val="0"/>
          <w:numId w:val="0"/>
        </w:numPr>
        <w:spacing w:line="600" w:lineRule="exact"/>
        <w:ind w:left="630" w:leftChars="0"/>
        <w:outlineLvl w:val="1"/>
        <w:rPr>
          <w:rFonts w:hint="eastAsia" w:ascii="宋体" w:hAnsi="宋体" w:eastAsia="宋体" w:cs="宋体"/>
          <w:b w:val="0"/>
          <w:bCs w:val="0"/>
          <w:color w:val="000000"/>
          <w:sz w:val="32"/>
          <w:szCs w:val="32"/>
          <w:lang w:eastAsia="zh-CN"/>
        </w:rPr>
      </w:pPr>
      <w:bookmarkStart w:id="10" w:name="_Toc15396611"/>
      <w:bookmarkStart w:id="11" w:name="_Toc15377219"/>
      <w:r>
        <w:rPr>
          <w:rFonts w:hint="eastAsia" w:ascii="宋体" w:hAnsi="宋体" w:eastAsia="宋体" w:cs="宋体"/>
          <w:b w:val="0"/>
          <w:bCs w:val="0"/>
          <w:color w:val="000000"/>
          <w:sz w:val="32"/>
          <w:szCs w:val="32"/>
          <w:lang w:eastAsia="zh-CN"/>
        </w:rPr>
        <w:t>九、国有资本经营预算支出决算情况说明</w:t>
      </w:r>
      <w:bookmarkEnd w:id="10"/>
      <w:bookmarkEnd w:id="11"/>
    </w:p>
    <w:p>
      <w:pPr>
        <w:spacing w:line="600" w:lineRule="exact"/>
        <w:ind w:firstLine="600" w:firstLineChars="200"/>
        <w:outlineLvl w:val="2"/>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2020年国有资本经营预算拨款支出</w:t>
      </w:r>
      <w:r>
        <w:rPr>
          <w:rFonts w:hint="eastAsia" w:ascii="仿宋" w:hAnsi="仿宋" w:eastAsia="仿宋"/>
          <w:color w:val="000000" w:themeColor="text1"/>
          <w:sz w:val="30"/>
          <w:szCs w:val="30"/>
          <w:lang w:val="en-US" w:eastAsia="zh-CN"/>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万元。</w:t>
      </w:r>
    </w:p>
    <w:p>
      <w:pPr>
        <w:pStyle w:val="12"/>
        <w:numPr>
          <w:ilvl w:val="0"/>
          <w:numId w:val="0"/>
        </w:numPr>
        <w:spacing w:line="600" w:lineRule="exact"/>
        <w:ind w:left="630" w:leftChars="0"/>
        <w:outlineLvl w:val="1"/>
        <w:rPr>
          <w:rFonts w:hint="eastAsia" w:ascii="宋体" w:hAnsi="宋体" w:eastAsia="宋体" w:cs="宋体"/>
          <w:b w:val="0"/>
          <w:bCs w:val="0"/>
          <w:color w:val="000000"/>
          <w:sz w:val="32"/>
          <w:szCs w:val="32"/>
          <w:lang w:eastAsia="zh-CN"/>
        </w:rPr>
      </w:pPr>
      <w:r>
        <w:rPr>
          <w:rFonts w:hint="eastAsia" w:ascii="宋体" w:hAnsi="宋体" w:eastAsia="宋体" w:cs="宋体"/>
          <w:b w:val="0"/>
          <w:bCs w:val="0"/>
          <w:color w:val="000000"/>
          <w:sz w:val="32"/>
          <w:szCs w:val="32"/>
          <w:lang w:eastAsia="zh-CN"/>
        </w:rPr>
        <w:t>十、其他重要事项的情况说明</w:t>
      </w:r>
    </w:p>
    <w:p>
      <w:pPr>
        <w:autoSpaceDE w:val="0"/>
        <w:autoSpaceDN w:val="0"/>
        <w:adjustRightInd w:val="0"/>
        <w:spacing w:line="600" w:lineRule="exact"/>
        <w:ind w:firstLine="560" w:firstLineChars="200"/>
        <w:jc w:val="left"/>
        <w:rPr>
          <w:rFonts w:ascii="仿宋_GB2312" w:eastAsia="仿宋_GB2312"/>
          <w:color w:val="000000"/>
          <w:sz w:val="32"/>
          <w:szCs w:val="32"/>
        </w:rPr>
      </w:pPr>
      <w:r>
        <w:rPr>
          <w:rFonts w:hint="eastAsia" w:ascii="仿宋_GB2312" w:eastAsia="仿宋_GB2312"/>
          <w:color w:val="000000"/>
          <w:sz w:val="28"/>
          <w:szCs w:val="28"/>
        </w:rPr>
        <w:t>1.</w:t>
      </w:r>
      <w:r>
        <w:rPr>
          <w:rFonts w:hint="eastAsia" w:ascii="仿宋_GB2312" w:eastAsia="仿宋_GB2312"/>
          <w:color w:val="000000"/>
          <w:sz w:val="32"/>
          <w:szCs w:val="32"/>
        </w:rPr>
        <w:t>政府采购支出情况</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20</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年度，学校政府采购支出总额</w:t>
      </w:r>
      <w:r>
        <w:rPr>
          <w:rFonts w:ascii="仿宋" w:hAnsi="仿宋" w:eastAsia="仿宋"/>
          <w:color w:val="000000" w:themeColor="text1"/>
          <w:sz w:val="30"/>
          <w:szCs w:val="30"/>
          <w14:textFill>
            <w14:solidFill>
              <w14:schemeClr w14:val="tx1"/>
            </w14:solidFill>
          </w14:textFill>
        </w:rPr>
        <w:t>48.5</w:t>
      </w:r>
      <w:r>
        <w:rPr>
          <w:rFonts w:hint="eastAsia" w:ascii="仿宋" w:hAnsi="仿宋" w:eastAsia="仿宋"/>
          <w:color w:val="000000" w:themeColor="text1"/>
          <w:sz w:val="30"/>
          <w:szCs w:val="30"/>
          <w14:textFill>
            <w14:solidFill>
              <w14:schemeClr w14:val="tx1"/>
            </w14:solidFill>
          </w14:textFill>
        </w:rPr>
        <w:t>万元，政府采购电脑、打印机、教学仪器及辅助设备支出</w:t>
      </w:r>
      <w:r>
        <w:rPr>
          <w:rFonts w:ascii="仿宋" w:hAnsi="仿宋" w:eastAsia="仿宋"/>
          <w:color w:val="000000" w:themeColor="text1"/>
          <w:sz w:val="30"/>
          <w:szCs w:val="30"/>
          <w14:textFill>
            <w14:solidFill>
              <w14:schemeClr w14:val="tx1"/>
            </w14:solidFill>
          </w14:textFill>
        </w:rPr>
        <w:t>48.5</w:t>
      </w:r>
      <w:r>
        <w:rPr>
          <w:rFonts w:hint="eastAsia" w:ascii="仿宋" w:hAnsi="仿宋" w:eastAsia="仿宋"/>
          <w:color w:val="000000" w:themeColor="text1"/>
          <w:sz w:val="30"/>
          <w:szCs w:val="30"/>
          <w14:textFill>
            <w14:solidFill>
              <w14:schemeClr w14:val="tx1"/>
            </w14:solidFill>
          </w14:textFill>
        </w:rPr>
        <w:t xml:space="preserve">万元元，主要用于学校正常的教育教学。 </w:t>
      </w:r>
    </w:p>
    <w:p>
      <w:pPr>
        <w:autoSpaceDE w:val="0"/>
        <w:autoSpaceDN w:val="0"/>
        <w:adjustRightInd w:val="0"/>
        <w:spacing w:line="60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 xml:space="preserve"> 2.本年结转资金情况</w:t>
      </w:r>
    </w:p>
    <w:p>
      <w:pPr>
        <w:spacing w:line="600" w:lineRule="exact"/>
        <w:ind w:firstLine="600" w:firstLineChars="200"/>
        <w:jc w:val="left"/>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本年结转资金1085145.29元,其中基本支出结转209639.61元，项目支出结转875505.68元，主要是因为学校设备购置按合同约定还未支付，教职工养老保险等还未支出，部分日常用品购买支出还未支付。</w:t>
      </w:r>
    </w:p>
    <w:p/>
    <w:p>
      <w:pPr>
        <w:numPr>
          <w:ilvl w:val="0"/>
          <w:numId w:val="2"/>
        </w:numPr>
        <w:spacing w:line="600" w:lineRule="exact"/>
        <w:ind w:firstLine="660" w:firstLineChars="150"/>
        <w:jc w:val="center"/>
        <w:outlineLvl w:val="0"/>
        <w:rPr>
          <w:rStyle w:val="15"/>
          <w:rFonts w:ascii="黑体" w:hAnsi="黑体" w:eastAsia="黑体"/>
          <w:b w:val="0"/>
        </w:rPr>
      </w:pPr>
      <w:bookmarkStart w:id="12" w:name="_Toc15377225"/>
      <w:bookmarkStart w:id="13" w:name="_Toc15396613"/>
      <w:r>
        <w:rPr>
          <w:rFonts w:hint="eastAsia" w:ascii="黑体" w:hAnsi="黑体" w:eastAsia="黑体"/>
          <w:color w:val="000000"/>
          <w:sz w:val="44"/>
          <w:szCs w:val="44"/>
        </w:rPr>
        <w:t>名</w:t>
      </w:r>
      <w:r>
        <w:rPr>
          <w:rStyle w:val="15"/>
          <w:rFonts w:hint="eastAsia" w:ascii="黑体" w:hAnsi="黑体" w:eastAsia="黑体"/>
        </w:rPr>
        <w:t>词解释</w:t>
      </w:r>
      <w:bookmarkEnd w:id="12"/>
      <w:bookmarkEnd w:id="13"/>
    </w:p>
    <w:p>
      <w:pPr>
        <w:spacing w:line="600" w:lineRule="exact"/>
        <w:jc w:val="left"/>
        <w:rPr>
          <w:rFonts w:ascii="宋体"/>
          <w:b/>
          <w:color w:val="000000"/>
          <w:sz w:val="44"/>
          <w:szCs w:val="44"/>
        </w:rPr>
      </w:pP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财政拨款收入：指单位从同级财政部门取得的财政预算资金。</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事业收入：指事业单位开展专业业务活动及辅助活动取得的收入。如…（二级预算单位事业收入情况）等。</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经营收入：指事业单位在专业业务活动及其辅助活动之外开展非独立核算经营活动取得的收入。如…（二级预算单位经营收入情况）等。</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4.</w:t>
      </w:r>
      <w:r>
        <w:rPr>
          <w:rFonts w:hint="eastAsia" w:ascii="仿宋" w:hAnsi="仿宋" w:eastAsia="仿宋"/>
          <w:color w:val="000000" w:themeColor="text1"/>
          <w:sz w:val="30"/>
          <w:szCs w:val="30"/>
          <w14:textFill>
            <w14:solidFill>
              <w14:schemeClr w14:val="tx1"/>
            </w14:solidFill>
          </w14:textFill>
        </w:rPr>
        <w:t>其他收入：指单位取得的除上述收入以外的各项收入。主要是…（收入类型）等。</w:t>
      </w:r>
      <w:r>
        <w:rPr>
          <w:rFonts w:ascii="仿宋" w:hAnsi="仿宋" w:eastAsia="仿宋"/>
          <w:color w:val="000000" w:themeColor="text1"/>
          <w:sz w:val="30"/>
          <w:szCs w:val="30"/>
          <w14:textFill>
            <w14:solidFill>
              <w14:schemeClr w14:val="tx1"/>
            </w14:solidFill>
          </w14:textFill>
        </w:rPr>
        <w:t xml:space="preserve"> </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olor w:val="000000" w:themeColor="text1"/>
          <w:sz w:val="30"/>
          <w:szCs w:val="30"/>
          <w14:textFill>
            <w14:solidFill>
              <w14:schemeClr w14:val="tx1"/>
            </w14:solidFill>
          </w14:textFill>
        </w:rPr>
        <w:t xml:space="preserve"> </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6.</w:t>
      </w:r>
      <w:r>
        <w:rPr>
          <w:rFonts w:hint="eastAsia" w:ascii="仿宋" w:hAnsi="仿宋" w:eastAsia="仿宋"/>
          <w:color w:val="000000" w:themeColor="text1"/>
          <w:sz w:val="30"/>
          <w:szCs w:val="30"/>
          <w14:textFill>
            <w14:solidFill>
              <w14:schemeClr w14:val="tx1"/>
            </w14:solidFill>
          </w14:textFill>
        </w:rPr>
        <w:t>年初结转和结余：指以前年度尚未完成、结转到本年按有关规定继续使用的资金。</w:t>
      </w:r>
      <w:r>
        <w:rPr>
          <w:rFonts w:ascii="仿宋" w:hAnsi="仿宋" w:eastAsia="仿宋"/>
          <w:color w:val="000000" w:themeColor="text1"/>
          <w:sz w:val="30"/>
          <w:szCs w:val="30"/>
          <w14:textFill>
            <w14:solidFill>
              <w14:schemeClr w14:val="tx1"/>
            </w14:solidFill>
          </w14:textFill>
        </w:rPr>
        <w:t xml:space="preserve"> </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7.</w:t>
      </w:r>
      <w:r>
        <w:rPr>
          <w:rFonts w:hint="eastAsia" w:ascii="仿宋" w:hAnsi="仿宋" w:eastAsia="仿宋"/>
          <w:color w:val="000000" w:themeColor="text1"/>
          <w:sz w:val="30"/>
          <w:szCs w:val="30"/>
          <w14:textFill>
            <w14:solidFill>
              <w14:schemeClr w14:val="tx1"/>
            </w14:solidFill>
          </w14:textFill>
        </w:rPr>
        <w:t>结余分配：指事业单位按照事业单位会计制度的规定从非财政补助结余中分配的事业基金和职工福利基金等。</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8</w:t>
      </w:r>
      <w:r>
        <w:rPr>
          <w:rFonts w:hint="eastAsia" w:ascii="仿宋" w:hAnsi="仿宋" w:eastAsia="仿宋"/>
          <w:color w:val="000000" w:themeColor="text1"/>
          <w:sz w:val="30"/>
          <w:szCs w:val="30"/>
          <w14:textFill>
            <w14:solidFill>
              <w14:schemeClr w14:val="tx1"/>
            </w14:solidFill>
          </w14:textFill>
        </w:rPr>
        <w:t>、年末结转和结余：指单位按有关规定结转到下年或以后年度继续使用的资金。</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9.</w:t>
      </w:r>
      <w:r>
        <w:rPr>
          <w:rFonts w:hint="eastAsia" w:ascii="仿宋" w:hAnsi="仿宋" w:eastAsia="仿宋"/>
          <w:color w:val="000000" w:themeColor="text1"/>
          <w:sz w:val="30"/>
          <w:szCs w:val="30"/>
          <w14:textFill>
            <w14:solidFill>
              <w14:schemeClr w14:val="tx1"/>
            </w14:solidFill>
          </w14:textFill>
        </w:rPr>
        <w:t>一般公共服务（类）…（款）…（项）：指……。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10.</w:t>
      </w:r>
      <w:r>
        <w:rPr>
          <w:rFonts w:hint="eastAsia" w:ascii="仿宋" w:hAnsi="仿宋" w:eastAsia="仿宋"/>
          <w:color w:val="000000" w:themeColor="text1"/>
          <w:sz w:val="30"/>
          <w:szCs w:val="30"/>
          <w14:textFill>
            <w14:solidFill>
              <w14:schemeClr w14:val="tx1"/>
            </w14:solidFill>
          </w14:textFill>
        </w:rPr>
        <w:t>外交（类）…（款）…（项）：指……。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11.</w:t>
      </w:r>
      <w:r>
        <w:rPr>
          <w:rFonts w:hint="eastAsia" w:ascii="仿宋" w:hAnsi="仿宋" w:eastAsia="仿宋"/>
          <w:color w:val="000000" w:themeColor="text1"/>
          <w:sz w:val="30"/>
          <w:szCs w:val="30"/>
          <w14:textFill>
            <w14:solidFill>
              <w14:schemeClr w14:val="tx1"/>
            </w14:solidFill>
          </w14:textFill>
        </w:rPr>
        <w:t>公共安全（类）…（款）…（项）：指……。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12.</w:t>
      </w:r>
      <w:r>
        <w:rPr>
          <w:rFonts w:hint="eastAsia" w:ascii="仿宋" w:hAnsi="仿宋" w:eastAsia="仿宋"/>
          <w:color w:val="000000" w:themeColor="text1"/>
          <w:sz w:val="30"/>
          <w:szCs w:val="30"/>
          <w14:textFill>
            <w14:solidFill>
              <w14:schemeClr w14:val="tx1"/>
            </w14:solidFill>
          </w14:textFill>
        </w:rPr>
        <w:t>教育（类）…（款）…（项）：指……。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13.</w:t>
      </w:r>
      <w:r>
        <w:rPr>
          <w:rFonts w:hint="eastAsia" w:ascii="仿宋" w:hAnsi="仿宋" w:eastAsia="仿宋"/>
          <w:color w:val="000000" w:themeColor="text1"/>
          <w:sz w:val="30"/>
          <w:szCs w:val="30"/>
          <w14:textFill>
            <w14:solidFill>
              <w14:schemeClr w14:val="tx1"/>
            </w14:solidFill>
          </w14:textFill>
        </w:rPr>
        <w:t>科学技术（类）…（款）…（项）：指……。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14.</w:t>
      </w:r>
      <w:r>
        <w:rPr>
          <w:rFonts w:hint="eastAsia" w:ascii="仿宋" w:hAnsi="仿宋" w:eastAsia="仿宋"/>
          <w:color w:val="000000" w:themeColor="text1"/>
          <w:sz w:val="30"/>
          <w:szCs w:val="30"/>
          <w14:textFill>
            <w14:solidFill>
              <w14:schemeClr w14:val="tx1"/>
            </w14:solidFill>
          </w14:textFill>
        </w:rPr>
        <w:t>文化体育与传媒（类）…（款）…（项）：指……。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15.</w:t>
      </w:r>
      <w:r>
        <w:rPr>
          <w:rFonts w:hint="eastAsia" w:ascii="仿宋" w:hAnsi="仿宋" w:eastAsia="仿宋"/>
          <w:color w:val="000000" w:themeColor="text1"/>
          <w:sz w:val="30"/>
          <w:szCs w:val="30"/>
          <w14:textFill>
            <w14:solidFill>
              <w14:schemeClr w14:val="tx1"/>
            </w14:solidFill>
          </w14:textFill>
        </w:rPr>
        <w:t>社会保障和就业（类）…（款）…（项）：指……。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16.</w:t>
      </w:r>
      <w:r>
        <w:rPr>
          <w:rFonts w:hint="eastAsia" w:ascii="仿宋" w:hAnsi="仿宋" w:eastAsia="仿宋"/>
          <w:color w:val="000000" w:themeColor="text1"/>
          <w:sz w:val="30"/>
          <w:szCs w:val="30"/>
          <w14:textFill>
            <w14:solidFill>
              <w14:schemeClr w14:val="tx1"/>
            </w14:solidFill>
          </w14:textFill>
        </w:rPr>
        <w:t>医疗卫生与计划生育（类）…（款）…（项）：指……。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17.</w:t>
      </w:r>
      <w:r>
        <w:rPr>
          <w:rFonts w:hint="eastAsia" w:ascii="仿宋" w:hAnsi="仿宋" w:eastAsia="仿宋"/>
          <w:color w:val="000000" w:themeColor="text1"/>
          <w:sz w:val="30"/>
          <w:szCs w:val="30"/>
          <w14:textFill>
            <w14:solidFill>
              <w14:schemeClr w14:val="tx1"/>
            </w14:solidFill>
          </w14:textFill>
        </w:rPr>
        <w:t>节能环保（类）…（款）…（项）：指……。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18.</w:t>
      </w:r>
      <w:r>
        <w:rPr>
          <w:rFonts w:hint="eastAsia" w:ascii="仿宋" w:hAnsi="仿宋" w:eastAsia="仿宋"/>
          <w:color w:val="000000" w:themeColor="text1"/>
          <w:sz w:val="30"/>
          <w:szCs w:val="30"/>
          <w14:textFill>
            <w14:solidFill>
              <w14:schemeClr w14:val="tx1"/>
            </w14:solidFill>
          </w14:textFill>
        </w:rPr>
        <w:t>城乡社区（类）…（款）…（项）：指……。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19.</w:t>
      </w:r>
      <w:r>
        <w:rPr>
          <w:rFonts w:hint="eastAsia" w:ascii="仿宋" w:hAnsi="仿宋" w:eastAsia="仿宋"/>
          <w:color w:val="000000" w:themeColor="text1"/>
          <w:sz w:val="30"/>
          <w:szCs w:val="30"/>
          <w14:textFill>
            <w14:solidFill>
              <w14:schemeClr w14:val="tx1"/>
            </w14:solidFill>
          </w14:textFill>
        </w:rPr>
        <w:t>农林水（类）…（款）…（项）：指……。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交通运输（类）…（款）…（项）：指……。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21.</w:t>
      </w:r>
      <w:r>
        <w:rPr>
          <w:rFonts w:hint="eastAsia" w:ascii="仿宋" w:hAnsi="仿宋" w:eastAsia="仿宋"/>
          <w:color w:val="000000" w:themeColor="text1"/>
          <w:sz w:val="30"/>
          <w:szCs w:val="30"/>
          <w14:textFill>
            <w14:solidFill>
              <w14:schemeClr w14:val="tx1"/>
            </w14:solidFill>
          </w14:textFill>
        </w:rPr>
        <w:t>资源勘探信息等（类）…（款）…（项）：指……。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22.</w:t>
      </w:r>
      <w:r>
        <w:rPr>
          <w:rFonts w:hint="eastAsia" w:ascii="仿宋" w:hAnsi="仿宋" w:eastAsia="仿宋"/>
          <w:color w:val="000000" w:themeColor="text1"/>
          <w:sz w:val="30"/>
          <w:szCs w:val="30"/>
          <w14:textFill>
            <w14:solidFill>
              <w14:schemeClr w14:val="tx1"/>
            </w14:solidFill>
          </w14:textFill>
        </w:rPr>
        <w:t>商业服务业（类）…（款）…（项）：指……。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23.</w:t>
      </w:r>
      <w:r>
        <w:rPr>
          <w:rFonts w:hint="eastAsia" w:ascii="仿宋" w:hAnsi="仿宋" w:eastAsia="仿宋"/>
          <w:color w:val="000000" w:themeColor="text1"/>
          <w:sz w:val="30"/>
          <w:szCs w:val="30"/>
          <w14:textFill>
            <w14:solidFill>
              <w14:schemeClr w14:val="tx1"/>
            </w14:solidFill>
          </w14:textFill>
        </w:rPr>
        <w:t>金融（类）…（款）…（项）：指……。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24.</w:t>
      </w:r>
      <w:r>
        <w:rPr>
          <w:rFonts w:hint="eastAsia" w:ascii="仿宋" w:hAnsi="仿宋" w:eastAsia="仿宋"/>
          <w:color w:val="000000" w:themeColor="text1"/>
          <w:sz w:val="30"/>
          <w:szCs w:val="30"/>
          <w14:textFill>
            <w14:solidFill>
              <w14:schemeClr w14:val="tx1"/>
            </w14:solidFill>
          </w14:textFill>
        </w:rPr>
        <w:t>国土海洋气象等（类）…（款）…（项）：指……。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25.</w:t>
      </w:r>
      <w:r>
        <w:rPr>
          <w:rFonts w:hint="eastAsia" w:ascii="仿宋" w:hAnsi="仿宋" w:eastAsia="仿宋"/>
          <w:color w:val="000000" w:themeColor="text1"/>
          <w:sz w:val="30"/>
          <w:szCs w:val="30"/>
          <w14:textFill>
            <w14:solidFill>
              <w14:schemeClr w14:val="tx1"/>
            </w14:solidFill>
          </w14:textFill>
        </w:rPr>
        <w:t>住房保障（类）…（款）…（项）：指……。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26.</w:t>
      </w:r>
      <w:r>
        <w:rPr>
          <w:rFonts w:hint="eastAsia" w:ascii="仿宋" w:hAnsi="仿宋" w:eastAsia="仿宋"/>
          <w:color w:val="000000" w:themeColor="text1"/>
          <w:sz w:val="30"/>
          <w:szCs w:val="30"/>
          <w14:textFill>
            <w14:solidFill>
              <w14:schemeClr w14:val="tx1"/>
            </w14:solidFill>
          </w14:textFill>
        </w:rPr>
        <w:t>粮油物资储备（类）…（款）…（项）：指……。</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27.</w:t>
      </w:r>
      <w:r>
        <w:rPr>
          <w:rFonts w:hint="eastAsia" w:ascii="仿宋" w:hAnsi="仿宋" w:eastAsia="仿宋"/>
          <w:color w:val="000000" w:themeColor="text1"/>
          <w:sz w:val="30"/>
          <w:szCs w:val="30"/>
          <w14:textFill>
            <w14:solidFill>
              <w14:schemeClr w14:val="tx1"/>
            </w14:solidFill>
          </w14:textFill>
        </w:rPr>
        <w:t>基本支出：指为保障机构正常运转、完成日常工作任务而发生的人员支出和公用支出。</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28.</w:t>
      </w:r>
      <w:r>
        <w:rPr>
          <w:rFonts w:hint="eastAsia" w:ascii="仿宋" w:hAnsi="仿宋" w:eastAsia="仿宋"/>
          <w:color w:val="000000" w:themeColor="text1"/>
          <w:sz w:val="30"/>
          <w:szCs w:val="30"/>
          <w14:textFill>
            <w14:solidFill>
              <w14:schemeClr w14:val="tx1"/>
            </w14:solidFill>
          </w14:textFill>
        </w:rPr>
        <w:t>项目支出：指在基本支出之外为完成特定行政任务和事业发展目标所发生的支出。</w:t>
      </w:r>
      <w:r>
        <w:rPr>
          <w:rFonts w:ascii="仿宋" w:hAnsi="仿宋" w:eastAsia="仿宋"/>
          <w:color w:val="000000" w:themeColor="text1"/>
          <w:sz w:val="30"/>
          <w:szCs w:val="30"/>
          <w14:textFill>
            <w14:solidFill>
              <w14:schemeClr w14:val="tx1"/>
            </w14:solidFill>
          </w14:textFill>
        </w:rPr>
        <w:t xml:space="preserve"> </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29.</w:t>
      </w:r>
      <w:r>
        <w:rPr>
          <w:rFonts w:hint="eastAsia" w:ascii="仿宋" w:hAnsi="仿宋" w:eastAsia="仿宋"/>
          <w:color w:val="000000" w:themeColor="text1"/>
          <w:sz w:val="30"/>
          <w:szCs w:val="30"/>
          <w14:textFill>
            <w14:solidFill>
              <w14:schemeClr w14:val="tx1"/>
            </w14:solidFill>
          </w14:textFill>
        </w:rPr>
        <w:t>经营支出：指事业单位在专业业务活动及其辅助活动之外开展非独立核算经营活动发生的支出。</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30.</w:t>
      </w:r>
      <w:r>
        <w:rPr>
          <w:rFonts w:hint="eastAsia" w:ascii="仿宋" w:hAnsi="仿宋" w:eastAsia="仿宋"/>
          <w:color w:val="000000" w:themeColor="text1"/>
          <w:sz w:val="30"/>
          <w:szCs w:val="30"/>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31.</w:t>
      </w:r>
      <w:r>
        <w:rPr>
          <w:rFonts w:hint="eastAsia" w:ascii="仿宋" w:hAnsi="仿宋" w:eastAsia="仿宋"/>
          <w:color w:val="000000" w:themeColor="text1"/>
          <w:sz w:val="30"/>
          <w:szCs w:val="30"/>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32.</w:t>
      </w:r>
      <w:r>
        <w:rPr>
          <w:rFonts w:hint="eastAsia" w:ascii="仿宋" w:hAnsi="仿宋" w:eastAsia="仿宋"/>
          <w:color w:val="000000" w:themeColor="text1"/>
          <w:sz w:val="30"/>
          <w:szCs w:val="30"/>
          <w14:textFill>
            <w14:solidFill>
              <w14:schemeClr w14:val="tx1"/>
            </w14:solidFill>
          </w14:textFill>
        </w:rPr>
        <w:t>……。</w:t>
      </w:r>
    </w:p>
    <w:p>
      <w:pPr>
        <w:spacing w:line="600" w:lineRule="exact"/>
        <w:ind w:firstLine="600" w:firstLineChars="200"/>
        <w:outlineLvl w:val="2"/>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（名词解释部分请根据各部门实际列支情况罗列，并根据本部门职责职能增减名词解释内容。）</w:t>
      </w:r>
    </w:p>
    <w:p/>
    <w:p/>
    <w:p/>
    <w:p/>
    <w:p/>
    <w:p>
      <w:pPr>
        <w:spacing w:line="600" w:lineRule="exact"/>
        <w:ind w:firstLine="2640" w:firstLineChars="600"/>
        <w:jc w:val="both"/>
        <w:outlineLvl w:val="0"/>
        <w:rPr>
          <w:rStyle w:val="15"/>
          <w:rFonts w:ascii="黑体" w:hAnsi="黑体" w:eastAsia="黑体"/>
          <w:b w:val="0"/>
        </w:rPr>
      </w:pPr>
      <w:bookmarkStart w:id="14" w:name="_Toc15396614"/>
      <w:r>
        <w:rPr>
          <w:rFonts w:hint="eastAsia" w:ascii="黑体" w:hAnsi="黑体" w:eastAsia="黑体"/>
          <w:color w:val="000000"/>
          <w:sz w:val="44"/>
          <w:szCs w:val="44"/>
        </w:rPr>
        <w:t>第</w:t>
      </w:r>
      <w:r>
        <w:rPr>
          <w:rStyle w:val="15"/>
          <w:rFonts w:hint="eastAsia" w:ascii="黑体" w:hAnsi="黑体" w:eastAsia="黑体"/>
        </w:rPr>
        <w:t>四部分 附件</w:t>
      </w:r>
      <w:bookmarkEnd w:id="14"/>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36"/>
          <w:szCs w:val="40"/>
          <w:lang w:val="zh-CN"/>
        </w:rPr>
      </w:pPr>
      <w:r>
        <w:rPr>
          <w:rFonts w:hint="eastAsia" w:ascii="方正小标宋简体" w:hAnsi="宋体" w:eastAsia="方正小标宋简体"/>
          <w:color w:val="000000"/>
          <w:kern w:val="0"/>
          <w:sz w:val="36"/>
          <w:szCs w:val="40"/>
        </w:rPr>
        <w:t>白</w:t>
      </w:r>
      <w:r>
        <w:rPr>
          <w:rFonts w:ascii="方正小标宋简体" w:hAnsi="宋体" w:eastAsia="方正小标宋简体"/>
          <w:color w:val="000000"/>
          <w:kern w:val="0"/>
          <w:sz w:val="36"/>
          <w:szCs w:val="40"/>
        </w:rPr>
        <w:t>塔小学20</w:t>
      </w:r>
      <w:r>
        <w:rPr>
          <w:rFonts w:hint="eastAsia" w:ascii="方正小标宋简体" w:hAnsi="宋体" w:eastAsia="方正小标宋简体"/>
          <w:color w:val="000000"/>
          <w:kern w:val="0"/>
          <w:sz w:val="36"/>
          <w:szCs w:val="40"/>
          <w:lang w:val="en-US" w:eastAsia="zh-CN"/>
        </w:rPr>
        <w:t>20</w:t>
      </w:r>
      <w:r>
        <w:rPr>
          <w:rFonts w:ascii="方正小标宋简体" w:hAnsi="宋体" w:eastAsia="方正小标宋简体"/>
          <w:color w:val="000000"/>
          <w:kern w:val="0"/>
          <w:sz w:val="36"/>
          <w:szCs w:val="40"/>
        </w:rPr>
        <w:t>年部门</w:t>
      </w:r>
      <w:r>
        <w:rPr>
          <w:rFonts w:hint="eastAsia" w:ascii="方正小标宋简体" w:hAnsi="宋体" w:eastAsia="方正小标宋简体"/>
          <w:color w:val="000000"/>
          <w:kern w:val="0"/>
          <w:sz w:val="36"/>
          <w:szCs w:val="40"/>
          <w:lang w:val="zh-CN"/>
        </w:rPr>
        <w:t>整体支出绩效评价报告</w:t>
      </w:r>
    </w:p>
    <w:p>
      <w:pPr>
        <w:widowControl/>
        <w:adjustRightInd w:val="0"/>
        <w:snapToGrid w:val="0"/>
        <w:spacing w:line="500" w:lineRule="exact"/>
        <w:ind w:firstLine="720"/>
        <w:jc w:val="left"/>
        <w:rPr>
          <w:rFonts w:cs="宋体" w:asciiTheme="majorEastAsia" w:hAnsiTheme="majorEastAsia" w:eastAsiaTheme="majorEastAsia"/>
          <w:b/>
          <w:color w:val="000000"/>
          <w:kern w:val="0"/>
          <w:sz w:val="32"/>
          <w:szCs w:val="32"/>
          <w:shd w:val="clear" w:color="auto" w:fill="FFFFFF"/>
          <w:lang w:val="zh-CN"/>
        </w:rPr>
      </w:pPr>
      <w:r>
        <w:rPr>
          <w:rFonts w:hint="eastAsia" w:cs="宋体" w:asciiTheme="majorEastAsia" w:hAnsiTheme="majorEastAsia" w:eastAsiaTheme="majorEastAsia"/>
          <w:b/>
          <w:color w:val="000000"/>
          <w:kern w:val="0"/>
          <w:sz w:val="32"/>
          <w:szCs w:val="32"/>
          <w:shd w:val="clear" w:color="auto" w:fill="FFFFFF"/>
        </w:rPr>
        <w:t>一、</w:t>
      </w:r>
      <w:r>
        <w:rPr>
          <w:rFonts w:hint="eastAsia" w:cs="宋体" w:asciiTheme="majorEastAsia" w:hAnsiTheme="majorEastAsia" w:eastAsiaTheme="majorEastAsia"/>
          <w:b/>
          <w:color w:val="000000"/>
          <w:kern w:val="0"/>
          <w:sz w:val="32"/>
          <w:szCs w:val="32"/>
          <w:shd w:val="clear" w:color="auto" w:fill="FFFFFF"/>
          <w:lang w:val="zh-CN"/>
        </w:rPr>
        <w:t>单位概况</w:t>
      </w:r>
    </w:p>
    <w:p>
      <w:pPr>
        <w:pStyle w:val="16"/>
        <w:spacing w:line="56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我单位性质为事业单位，主要职能是实施义务教育，促进基础教育发展。学校占地4000平方米，建筑面积2958平方米。学校设有校长室、办公室、教务处、安保处、后勤财务处等5个处室。其主要职责是贯彻执行教育法律法规和政策规定，坚持依法治教、依法治学；负责本单位教育教学管理及教研教改工作，全力推进素质教育；负责本单位教职工人事管理、继续教育、考核考评等工作。</w:t>
      </w:r>
    </w:p>
    <w:p>
      <w:pPr>
        <w:pStyle w:val="16"/>
        <w:spacing w:line="56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学校现有中心校教学班17个，学生739人，幼儿班2个，幼儿人数59人。村校教学点1个，排垭村小现有教学班1个，学生共3人。在职事业在编数76人，离退休人员57人，遗嘱人员8人。</w:t>
      </w:r>
    </w:p>
    <w:p>
      <w:pPr>
        <w:widowControl/>
        <w:adjustRightInd w:val="0"/>
        <w:snapToGrid w:val="0"/>
        <w:spacing w:line="500" w:lineRule="exact"/>
        <w:ind w:firstLine="720"/>
        <w:jc w:val="left"/>
        <w:rPr>
          <w:rFonts w:cs="宋体" w:asciiTheme="majorEastAsia" w:hAnsiTheme="majorEastAsia" w:eastAsiaTheme="majorEastAsia"/>
          <w:b/>
          <w:color w:val="000000"/>
          <w:kern w:val="0"/>
          <w:sz w:val="32"/>
          <w:szCs w:val="32"/>
          <w:shd w:val="clear" w:color="auto" w:fill="FFFFFF"/>
        </w:rPr>
      </w:pPr>
      <w:r>
        <w:rPr>
          <w:rFonts w:hint="eastAsia" w:cs="宋体" w:asciiTheme="majorEastAsia" w:hAnsiTheme="majorEastAsia" w:eastAsiaTheme="majorEastAsia"/>
          <w:b/>
          <w:color w:val="000000"/>
          <w:kern w:val="0"/>
          <w:sz w:val="32"/>
          <w:szCs w:val="32"/>
          <w:shd w:val="clear" w:color="auto" w:fill="FFFFFF"/>
        </w:rPr>
        <w:t>二、部门财政资金收支情况</w:t>
      </w:r>
    </w:p>
    <w:p>
      <w:pPr>
        <w:spacing w:line="600" w:lineRule="exact"/>
        <w:ind w:firstLine="480" w:firstLineChars="150"/>
        <w:rPr>
          <w:rFonts w:ascii="黑体" w:hAnsi="黑体" w:eastAsia="黑体"/>
          <w:color w:val="000000"/>
          <w:sz w:val="32"/>
          <w:szCs w:val="32"/>
        </w:rPr>
      </w:pPr>
      <w:r>
        <w:rPr>
          <w:rFonts w:hint="eastAsia" w:ascii="黑体" w:eastAsia="黑体"/>
          <w:color w:val="000000"/>
          <w:sz w:val="32"/>
          <w:szCs w:val="32"/>
        </w:rPr>
        <w:t>（一）</w:t>
      </w:r>
      <w:r>
        <w:rPr>
          <w:rFonts w:hint="eastAsia" w:ascii="黑体" w:hAnsi="黑体" w:eastAsia="黑体" w:cs="宋体"/>
          <w:color w:val="000000"/>
          <w:kern w:val="0"/>
          <w:sz w:val="32"/>
          <w:szCs w:val="32"/>
          <w:shd w:val="clear" w:color="auto" w:fill="FFFFFF"/>
        </w:rPr>
        <w:t>财政资金</w:t>
      </w:r>
      <w:r>
        <w:rPr>
          <w:rFonts w:hint="eastAsia" w:ascii="黑体" w:hAnsi="黑体" w:eastAsia="黑体"/>
          <w:color w:val="000000"/>
          <w:sz w:val="32"/>
          <w:szCs w:val="32"/>
        </w:rPr>
        <w:t>收入情况</w:t>
      </w:r>
    </w:p>
    <w:p>
      <w:pPr>
        <w:spacing w:line="600" w:lineRule="exact"/>
        <w:ind w:firstLine="600" w:firstLineChars="200"/>
        <w:rPr>
          <w:rFonts w:asciiTheme="minorEastAsia" w:hAnsiTheme="minorEastAsia"/>
          <w:color w:val="000000"/>
          <w:sz w:val="28"/>
          <w:szCs w:val="28"/>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2020年收入合计1267.49万元，其中：上年结转资金95.18万元，年初预算批复拨款851.6万元，追加预算拨款320.7</w:t>
      </w:r>
      <w:r>
        <w:rPr>
          <w:rFonts w:hint="eastAsia" w:asciiTheme="minorEastAsia" w:hAnsiTheme="minorEastAsia"/>
          <w:color w:val="000000"/>
          <w:sz w:val="28"/>
          <w:szCs w:val="28"/>
        </w:rPr>
        <w:t>万元。</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（二）财政拨款支出情况</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2020年本年支出合计1158.97万元（含上年结转资金95.18万元），支出结构情况：一般公共预算财政拨款支出1158.97万元，主要用于教育支出874.9万元，占一般公共预算财政拨款支出75.49%,  机关事业单位基本养老保险缴费、其他社保缴费和住房公积金支出219.67万元,占一般公共预算财政拨款支出18.95%。其他支出（退休人员生活补助）64.4万元，占一般公共预算财政拨款支出5.6%。</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财政预算拨款支出决算具体情况如下：</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1．全年基本支出合计793.53万元，其中：工资福利支出746.12万元；商品和服务支出37.53万元；对个人和家庭的补助支出9.88万元。</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2．项目支出合计365.44万元。其中义务教育补助资金58.37万元；发教职工目标考核奖163.41万元；其他社保支出5.8万元；疫情防控支出5万元；其他退休人员生活补助等支出64.4万元。</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3．“三公”经费财政拨款支出决算情况。2020年度“三公”经费财政拨款支出决算为0元。</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4．政府性基金预算财政拨款支出决算情况</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2020年学校政府性基金预算财政拨款支出0万元。</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（三）、其他重要事项的情况说明</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（1）政府采购支出情况</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 xml:space="preserve">2020年度，2020年度，学校政府采购支出总额48.5万元，政府采购电脑、打印机、教学仪器及辅助设备支出48.5万元元，主要用于学校正常的教育教学。 </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（2）本年结转资金情况</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本年结转资金1085145.29元,其中基本支出结转209639.61元，项目支出结转875505.68元，主要是因为学校设备购置按合同约定还未支付，教职工养老保险、医保等还未支出，部分日常用品购买支出还未支付。</w:t>
      </w:r>
    </w:p>
    <w:p/>
    <w:p>
      <w:pPr>
        <w:widowControl/>
        <w:adjustRightInd w:val="0"/>
        <w:snapToGrid w:val="0"/>
        <w:spacing w:line="500" w:lineRule="exact"/>
        <w:ind w:firstLine="720"/>
        <w:jc w:val="left"/>
        <w:rPr>
          <w:rFonts w:cs="宋体" w:asciiTheme="majorEastAsia" w:hAnsiTheme="majorEastAsia" w:eastAsiaTheme="majorEastAsia"/>
          <w:b/>
          <w:color w:val="000000"/>
          <w:kern w:val="0"/>
          <w:sz w:val="32"/>
          <w:szCs w:val="32"/>
          <w:shd w:val="clear" w:color="auto" w:fill="FFFFFF"/>
          <w:lang w:val="zh-CN"/>
        </w:rPr>
      </w:pPr>
      <w:r>
        <w:rPr>
          <w:rFonts w:hint="eastAsia" w:cs="宋体" w:asciiTheme="majorEastAsia" w:hAnsiTheme="majorEastAsia" w:eastAsiaTheme="majorEastAsia"/>
          <w:b/>
          <w:color w:val="000000"/>
          <w:kern w:val="0"/>
          <w:sz w:val="32"/>
          <w:szCs w:val="32"/>
          <w:shd w:val="clear" w:color="auto" w:fill="FFFFFF"/>
          <w:lang w:val="zh-CN"/>
        </w:rPr>
        <w:t>三、单位支出管理情况</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1.学校加强制度建设。严格预算管理切实按照相关管理制度要求，进一步修订完善了学校内控制度、财务管理制度、收支管理制度等工作制度，加强了财务管理，规范了收支行为，保证了财务管理工作有序进行。</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资金使用管理规范注重实效。单位支出严格按国家财经法规和财务管理制度执行，正确组织资金的调度和使用，费用开支有标准、有预算，及时结算结清费用。所有支出均通过大平台财政直接支付办理，资金使用无截留、挤占、挪用、虚列支出等情况。</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3.项目支出严格按项目的内容规范使用预算内资金，学校教学设备购置、党建活动、学校保安服务等费用支出都按相关的会议纪要、合同和方案执行，切实做到资金的专项专用。</w:t>
      </w:r>
    </w:p>
    <w:p>
      <w:pPr>
        <w:spacing w:line="600" w:lineRule="exact"/>
        <w:ind w:firstLine="600" w:firstLineChars="200"/>
        <w:rPr>
          <w:rFonts w:hint="eastAsia" w:ascii="仿宋" w:hAnsi="仿宋" w:eastAsia="仿宋" w:cs="Times New Roman"/>
          <w:color w:val="000000" w:themeColor="text1"/>
          <w:kern w:val="2"/>
          <w:sz w:val="30"/>
          <w:szCs w:val="30"/>
          <w:lang w:val="zh-CN"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zh-CN" w:eastAsia="zh-CN" w:bidi="ar-SA"/>
          <w14:textFill>
            <w14:solidFill>
              <w14:schemeClr w14:val="tx1"/>
            </w14:solidFill>
          </w14:textFill>
        </w:rPr>
        <w:t>四、评价结论及改进建议</w:t>
      </w:r>
    </w:p>
    <w:p>
      <w:pPr>
        <w:spacing w:line="600" w:lineRule="exact"/>
        <w:ind w:firstLine="600" w:firstLineChars="200"/>
        <w:rPr>
          <w:rFonts w:hint="eastAsia" w:ascii="仿宋" w:hAnsi="仿宋" w:eastAsia="仿宋" w:cs="Times New Roman"/>
          <w:color w:val="000000" w:themeColor="text1"/>
          <w:kern w:val="2"/>
          <w:sz w:val="30"/>
          <w:szCs w:val="30"/>
          <w:lang w:val="zh-CN"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zh-CN" w:eastAsia="zh-CN" w:bidi="ar-SA"/>
          <w14:textFill>
            <w14:solidFill>
              <w14:schemeClr w14:val="tx1"/>
            </w14:solidFill>
          </w14:textFill>
        </w:rPr>
        <w:t>（一）绩效评价情况</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2020年度，我单位积极履职尽，强化管理，较好地完成了年度工作目标。通过加强预算收支管理，建立健全内控制度，梳理内部管理流程，部门整体支出管理水平得到提升。本年度单位整体支出绩效情况如下：</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1.预算配置控制较好。学校“三公”经费支出为零。</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2.预算执行比较到位。资金使用严格按预算批复执行，支出总额控制在预算总额内，无超预算支出。</w:t>
      </w:r>
    </w:p>
    <w:p>
      <w:pPr>
        <w:spacing w:line="600" w:lineRule="exact"/>
        <w:ind w:firstLine="600" w:firstLineChars="200"/>
        <w:rPr>
          <w:rFonts w:ascii="仿宋_GB2312" w:eastAsia="仿宋_GB2312"/>
          <w:sz w:val="32"/>
          <w:szCs w:val="32"/>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3.预算管理较细致有效，建立健全各项制度。学校按“三重一大”规定及三定方案，凡是较大金额支出学校都要先进行会议讨论决定再进行。根据新的时代要求还需进</w:t>
      </w:r>
      <w:r>
        <w:rPr>
          <w:rFonts w:hint="eastAsia" w:ascii="仿宋_GB2312" w:eastAsia="仿宋_GB2312"/>
          <w:sz w:val="32"/>
          <w:szCs w:val="32"/>
        </w:rPr>
        <w:t>一步强化。</w:t>
      </w:r>
    </w:p>
    <w:p>
      <w:pPr>
        <w:spacing w:line="600" w:lineRule="exact"/>
        <w:ind w:firstLine="643" w:firstLineChars="200"/>
        <w:jc w:val="left"/>
        <w:rPr>
          <w:rFonts w:cs="宋体" w:asciiTheme="minorEastAsia" w:hAnsiTheme="minorEastAsia"/>
          <w:b/>
          <w:color w:val="000000"/>
          <w:kern w:val="0"/>
          <w:sz w:val="32"/>
          <w:szCs w:val="32"/>
          <w:shd w:val="clear" w:color="auto" w:fill="FFFFFF"/>
          <w:lang w:val="zh-CN"/>
        </w:rPr>
      </w:pPr>
      <w:r>
        <w:rPr>
          <w:rFonts w:hint="eastAsia" w:cs="宋体" w:asciiTheme="minorEastAsia" w:hAnsiTheme="minorEastAsia"/>
          <w:b/>
          <w:color w:val="000000"/>
          <w:kern w:val="0"/>
          <w:sz w:val="32"/>
          <w:szCs w:val="32"/>
          <w:shd w:val="clear" w:color="auto" w:fill="FFFFFF"/>
          <w:lang w:val="zh-CN"/>
        </w:rPr>
        <w:t>（二）存在问题及改进建议</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1.预算编制工作有待细化。根据学校发展预算编制合理性需要提高。在今后的预算编制中进一步加强单位内部机构各处室的预算管理意识，严格按相关制度要求和学校发展需要进行预算编制。</w:t>
      </w:r>
    </w:p>
    <w:p>
      <w:pPr>
        <w:spacing w:line="600" w:lineRule="exact"/>
        <w:ind w:firstLine="600" w:firstLineChars="200"/>
        <w:rPr>
          <w:rFonts w:hint="eastAsia" w:ascii="仿宋" w:hAnsi="仿宋" w:eastAsia="仿宋" w:cs="Times New Roman"/>
          <w:color w:val="000000" w:themeColor="text1"/>
          <w:kern w:val="2"/>
          <w:sz w:val="30"/>
          <w:szCs w:val="30"/>
          <w:lang w:val="en-US" w:eastAsia="zh-CN" w:bidi="ar-SA"/>
          <w14:textFill>
            <w14:solidFill>
              <w14:schemeClr w14:val="tx1"/>
            </w14:solidFill>
          </w14:textFill>
        </w:rPr>
      </w:pPr>
      <w:r>
        <w:rPr>
          <w:rFonts w:hint="eastAsia" w:ascii="仿宋" w:hAnsi="仿宋" w:eastAsia="仿宋" w:cs="Times New Roman"/>
          <w:color w:val="000000" w:themeColor="text1"/>
          <w:kern w:val="2"/>
          <w:sz w:val="30"/>
          <w:szCs w:val="30"/>
          <w:lang w:val="en-US" w:eastAsia="zh-CN" w:bidi="ar-SA"/>
          <w14:textFill>
            <w14:solidFill>
              <w14:schemeClr w14:val="tx1"/>
            </w14:solidFill>
          </w14:textFill>
        </w:rPr>
        <w:t>2．对相关人员加强培训，特别是按照新的《政府会计制度》、《预算法》等进行学习培训，进一步规范预算收支核算，切实提高部门预算收支管理水平，提高财政资金使用效益。</w:t>
      </w:r>
    </w:p>
    <w:p>
      <w:pPr>
        <w:widowControl/>
        <w:adjustRightInd w:val="0"/>
        <w:snapToGrid w:val="0"/>
        <w:spacing w:line="500" w:lineRule="exact"/>
        <w:ind w:firstLine="5180" w:firstLineChars="1850"/>
        <w:jc w:val="left"/>
        <w:rPr>
          <w:rFonts w:cs="宋体" w:asciiTheme="minorEastAsia" w:hAnsiTheme="minorEastAsia"/>
          <w:color w:val="000000"/>
          <w:kern w:val="0"/>
          <w:sz w:val="28"/>
          <w:szCs w:val="32"/>
          <w:shd w:val="clear" w:color="auto" w:fill="FFFFFF"/>
          <w:lang w:val="zh-CN"/>
        </w:rPr>
      </w:pPr>
    </w:p>
    <w:p>
      <w:pPr>
        <w:spacing w:line="600" w:lineRule="exact"/>
        <w:jc w:val="center"/>
        <w:outlineLvl w:val="0"/>
        <w:rPr>
          <w:rFonts w:ascii="黑体" w:hAnsi="黑体" w:eastAsia="黑体" w:cs="黑体"/>
          <w:sz w:val="32"/>
          <w:szCs w:val="32"/>
        </w:rPr>
      </w:pPr>
    </w:p>
    <w:p>
      <w:pPr>
        <w:spacing w:line="600" w:lineRule="exact"/>
        <w:jc w:val="center"/>
        <w:outlineLvl w:val="0"/>
        <w:rPr>
          <w:rStyle w:val="15"/>
          <w:rFonts w:hint="eastAsia" w:ascii="黑体" w:hAnsi="黑体" w:eastAsia="黑体"/>
          <w:b w:val="0"/>
        </w:rPr>
      </w:pPr>
    </w:p>
    <w:p>
      <w:pPr>
        <w:spacing w:line="600" w:lineRule="exact"/>
        <w:jc w:val="center"/>
        <w:outlineLvl w:val="0"/>
        <w:rPr>
          <w:rFonts w:ascii="黑体" w:hAnsi="黑体" w:eastAsia="黑体"/>
          <w:color w:val="000000"/>
          <w:sz w:val="44"/>
          <w:szCs w:val="44"/>
        </w:rPr>
      </w:pPr>
      <w:bookmarkStart w:id="15"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numPr>
          <w:ilvl w:val="0"/>
          <w:numId w:val="0"/>
        </w:numPr>
        <w:spacing w:line="600" w:lineRule="exact"/>
        <w:ind w:firstLine="2209" w:firstLineChars="500"/>
        <w:jc w:val="left"/>
        <w:outlineLvl w:val="0"/>
        <w:rPr>
          <w:rStyle w:val="15"/>
          <w:rFonts w:hint="eastAsia" w:ascii="黑体" w:hAnsi="黑体" w:eastAsia="黑体"/>
          <w:lang w:eastAsia="zh-CN"/>
        </w:rPr>
      </w:pPr>
    </w:p>
    <w:p>
      <w:pPr>
        <w:numPr>
          <w:ilvl w:val="0"/>
          <w:numId w:val="0"/>
        </w:numPr>
        <w:spacing w:line="600" w:lineRule="exact"/>
        <w:ind w:firstLine="2209" w:firstLineChars="500"/>
        <w:jc w:val="left"/>
        <w:outlineLvl w:val="0"/>
        <w:rPr>
          <w:rStyle w:val="15"/>
          <w:rFonts w:hint="eastAsia" w:ascii="黑体" w:hAnsi="黑体" w:eastAsia="黑体"/>
          <w:lang w:eastAsia="zh-CN"/>
        </w:rPr>
      </w:pPr>
    </w:p>
    <w:p>
      <w:pPr>
        <w:numPr>
          <w:ilvl w:val="0"/>
          <w:numId w:val="0"/>
        </w:numPr>
        <w:spacing w:line="600" w:lineRule="exact"/>
        <w:ind w:firstLine="2209" w:firstLineChars="500"/>
        <w:jc w:val="left"/>
        <w:outlineLvl w:val="0"/>
        <w:rPr>
          <w:rStyle w:val="15"/>
          <w:rFonts w:hint="eastAsia" w:ascii="黑体" w:hAnsi="黑体" w:eastAsia="黑体"/>
        </w:rPr>
      </w:pPr>
      <w:r>
        <w:rPr>
          <w:rStyle w:val="15"/>
          <w:rFonts w:hint="eastAsia" w:ascii="黑体" w:hAnsi="黑体" w:eastAsia="黑体"/>
          <w:lang w:eastAsia="zh-CN"/>
        </w:rPr>
        <w:t>第五部分</w:t>
      </w:r>
      <w:r>
        <w:rPr>
          <w:rStyle w:val="15"/>
          <w:rFonts w:hint="eastAsia" w:ascii="黑体" w:hAnsi="黑体" w:eastAsia="黑体"/>
          <w:lang w:val="en-US" w:eastAsia="zh-CN"/>
        </w:rPr>
        <w:t xml:space="preserve">  </w:t>
      </w:r>
      <w:r>
        <w:rPr>
          <w:rStyle w:val="15"/>
          <w:rFonts w:hint="eastAsia" w:ascii="黑体" w:hAnsi="黑体" w:eastAsia="黑体"/>
        </w:rPr>
        <w:t>附表</w:t>
      </w:r>
      <w:bookmarkEnd w:id="15"/>
      <w:bookmarkStart w:id="16" w:name="_Toc15396619"/>
    </w:p>
    <w:p>
      <w:pPr>
        <w:pStyle w:val="3"/>
        <w:ind w:firstLine="320" w:firstLineChars="100"/>
        <w:rPr>
          <w:rStyle w:val="13"/>
          <w:rFonts w:hint="eastAsia" w:ascii="仿宋" w:hAnsi="仿宋" w:eastAsia="仿宋"/>
          <w:b w:val="0"/>
          <w:bCs w:val="0"/>
        </w:rPr>
      </w:pPr>
      <w:r>
        <w:rPr>
          <w:rStyle w:val="13"/>
          <w:rFonts w:hint="eastAsia" w:ascii="仿宋" w:hAnsi="仿宋" w:eastAsia="仿宋"/>
          <w:b w:val="0"/>
          <w:bCs w:val="0"/>
          <w:lang w:eastAsia="zh-CN"/>
        </w:rPr>
        <w:t>一</w:t>
      </w:r>
      <w:r>
        <w:rPr>
          <w:rStyle w:val="13"/>
          <w:rFonts w:hint="eastAsia" w:ascii="仿宋" w:hAnsi="仿宋" w:eastAsia="仿宋"/>
          <w:b w:val="0"/>
          <w:bCs w:val="0"/>
        </w:rPr>
        <w:t>、收入支出决算总表</w:t>
      </w:r>
      <w:bookmarkEnd w:id="16"/>
      <w:bookmarkStart w:id="17" w:name="_Toc15396620"/>
    </w:p>
    <w:p>
      <w:pPr>
        <w:pStyle w:val="3"/>
        <w:ind w:firstLine="320" w:firstLineChars="100"/>
        <w:rPr>
          <w:rStyle w:val="13"/>
          <w:rFonts w:hint="eastAsia" w:ascii="仿宋" w:hAnsi="仿宋" w:eastAsia="仿宋"/>
          <w:b w:val="0"/>
          <w:bCs w:val="0"/>
        </w:rPr>
      </w:pPr>
      <w:r>
        <w:rPr>
          <w:rStyle w:val="13"/>
          <w:rFonts w:hint="eastAsia" w:ascii="仿宋" w:hAnsi="仿宋" w:eastAsia="仿宋"/>
          <w:b w:val="0"/>
          <w:bCs w:val="0"/>
        </w:rPr>
        <w:t>二、收入决算表</w:t>
      </w:r>
      <w:bookmarkEnd w:id="17"/>
    </w:p>
    <w:p>
      <w:pPr>
        <w:pStyle w:val="3"/>
        <w:ind w:firstLine="320" w:firstLineChars="100"/>
        <w:rPr>
          <w:rStyle w:val="13"/>
          <w:rFonts w:hint="eastAsia" w:ascii="仿宋" w:hAnsi="仿宋" w:eastAsia="仿宋"/>
          <w:b w:val="0"/>
          <w:bCs w:val="0"/>
        </w:rPr>
      </w:pPr>
      <w:bookmarkStart w:id="18" w:name="_Toc15396621"/>
      <w:r>
        <w:rPr>
          <w:rStyle w:val="13"/>
          <w:rFonts w:hint="eastAsia" w:ascii="仿宋" w:hAnsi="仿宋" w:eastAsia="仿宋"/>
          <w:b w:val="0"/>
          <w:bCs w:val="0"/>
        </w:rPr>
        <w:t>三、支出决算表</w:t>
      </w:r>
      <w:bookmarkEnd w:id="18"/>
    </w:p>
    <w:p>
      <w:pPr>
        <w:pStyle w:val="3"/>
        <w:ind w:firstLine="320" w:firstLineChars="100"/>
        <w:rPr>
          <w:rFonts w:ascii="仿宋" w:hAnsi="仿宋" w:eastAsia="仿宋"/>
          <w:b w:val="0"/>
          <w:color w:val="000000"/>
        </w:rPr>
      </w:pPr>
      <w:bookmarkStart w:id="19" w:name="_Toc15396622"/>
      <w:r>
        <w:rPr>
          <w:rStyle w:val="13"/>
          <w:rFonts w:hint="eastAsia" w:ascii="仿宋" w:hAnsi="仿宋" w:eastAsia="仿宋"/>
          <w:b w:val="0"/>
          <w:bCs w:val="0"/>
        </w:rPr>
        <w:t>四、</w:t>
      </w:r>
      <w:r>
        <w:rPr>
          <w:rFonts w:hint="eastAsia" w:ascii="仿宋" w:hAnsi="仿宋" w:eastAsia="仿宋"/>
          <w:b w:val="0"/>
          <w:color w:val="000000"/>
        </w:rPr>
        <w:t>财</w:t>
      </w:r>
      <w:r>
        <w:rPr>
          <w:rStyle w:val="13"/>
          <w:rFonts w:hint="eastAsia" w:ascii="仿宋" w:hAnsi="仿宋" w:eastAsia="仿宋"/>
          <w:b w:val="0"/>
          <w:bCs w:val="0"/>
        </w:rPr>
        <w:t>政拨款收入支出决算总表</w:t>
      </w:r>
      <w:bookmarkEnd w:id="19"/>
    </w:p>
    <w:p>
      <w:pPr>
        <w:pStyle w:val="3"/>
        <w:ind w:firstLine="320" w:firstLineChars="100"/>
        <w:rPr>
          <w:rStyle w:val="13"/>
          <w:rFonts w:ascii="仿宋" w:hAnsi="仿宋" w:eastAsia="仿宋"/>
          <w:b w:val="0"/>
          <w:bCs w:val="0"/>
        </w:rPr>
      </w:pPr>
      <w:bookmarkStart w:id="20" w:name="_Toc15396623"/>
      <w:r>
        <w:rPr>
          <w:rStyle w:val="13"/>
          <w:rFonts w:hint="eastAsia" w:ascii="仿宋" w:hAnsi="仿宋" w:eastAsia="仿宋"/>
          <w:b w:val="0"/>
          <w:bCs w:val="0"/>
        </w:rPr>
        <w:t>五、</w:t>
      </w:r>
      <w:r>
        <w:rPr>
          <w:rFonts w:hint="eastAsia" w:ascii="仿宋" w:hAnsi="仿宋" w:eastAsia="仿宋"/>
          <w:b w:val="0"/>
          <w:color w:val="000000"/>
        </w:rPr>
        <w:t>财</w:t>
      </w:r>
      <w:r>
        <w:rPr>
          <w:rStyle w:val="13"/>
          <w:rFonts w:hint="eastAsia" w:ascii="仿宋" w:hAnsi="仿宋" w:eastAsia="仿宋"/>
          <w:b w:val="0"/>
          <w:bCs w:val="0"/>
        </w:rPr>
        <w:t>政拨款支出决算明细表</w:t>
      </w:r>
      <w:bookmarkEnd w:id="20"/>
      <w:bookmarkStart w:id="21" w:name="_Toc15396624"/>
    </w:p>
    <w:p>
      <w:pPr>
        <w:pStyle w:val="3"/>
        <w:ind w:firstLine="320" w:firstLineChars="100"/>
        <w:rPr>
          <w:rFonts w:ascii="仿宋" w:hAnsi="仿宋" w:eastAsia="仿宋"/>
          <w:color w:val="000000"/>
        </w:rPr>
      </w:pPr>
      <w:r>
        <w:rPr>
          <w:rStyle w:val="13"/>
          <w:rFonts w:hint="eastAsia" w:ascii="仿宋" w:hAnsi="仿宋" w:eastAsia="仿宋"/>
          <w:b w:val="0"/>
          <w:bCs w:val="0"/>
        </w:rPr>
        <w:t>六、</w:t>
      </w:r>
      <w:r>
        <w:rPr>
          <w:rFonts w:hint="eastAsia" w:ascii="仿宋" w:hAnsi="仿宋" w:eastAsia="仿宋"/>
          <w:b w:val="0"/>
          <w:color w:val="000000"/>
        </w:rPr>
        <w:t>一</w:t>
      </w:r>
      <w:r>
        <w:rPr>
          <w:rStyle w:val="13"/>
          <w:rFonts w:hint="eastAsia" w:ascii="仿宋" w:hAnsi="仿宋" w:eastAsia="仿宋"/>
          <w:b w:val="0"/>
          <w:bCs w:val="0"/>
        </w:rPr>
        <w:t>般公共预算财政拨款支出决算表</w:t>
      </w:r>
      <w:bookmarkEnd w:id="21"/>
    </w:p>
    <w:p>
      <w:pPr>
        <w:pStyle w:val="3"/>
        <w:ind w:firstLine="320" w:firstLineChars="100"/>
        <w:rPr>
          <w:rFonts w:ascii="仿宋" w:hAnsi="仿宋" w:eastAsia="仿宋"/>
          <w:color w:val="000000"/>
        </w:rPr>
      </w:pPr>
      <w:bookmarkStart w:id="22" w:name="_Toc15396625"/>
      <w:r>
        <w:rPr>
          <w:rStyle w:val="13"/>
          <w:rFonts w:hint="eastAsia" w:ascii="仿宋" w:hAnsi="仿宋" w:eastAsia="仿宋"/>
          <w:b w:val="0"/>
          <w:bCs w:val="0"/>
        </w:rPr>
        <w:t>七、</w:t>
      </w:r>
      <w:r>
        <w:rPr>
          <w:rFonts w:hint="eastAsia" w:ascii="仿宋" w:hAnsi="仿宋" w:eastAsia="仿宋"/>
          <w:b w:val="0"/>
          <w:color w:val="000000"/>
        </w:rPr>
        <w:t>一</w:t>
      </w:r>
      <w:r>
        <w:rPr>
          <w:rStyle w:val="13"/>
          <w:rFonts w:hint="eastAsia" w:ascii="仿宋" w:hAnsi="仿宋" w:eastAsia="仿宋"/>
          <w:b w:val="0"/>
          <w:bCs w:val="0"/>
        </w:rPr>
        <w:t>般公共预算财政拨款支出决算明细表</w:t>
      </w:r>
      <w:bookmarkEnd w:id="22"/>
    </w:p>
    <w:p>
      <w:pPr>
        <w:pStyle w:val="3"/>
        <w:ind w:firstLine="320" w:firstLineChars="100"/>
        <w:rPr>
          <w:rFonts w:ascii="仿宋" w:hAnsi="仿宋" w:eastAsia="仿宋"/>
          <w:color w:val="000000"/>
        </w:rPr>
      </w:pPr>
      <w:bookmarkStart w:id="23" w:name="_Toc15396626"/>
      <w:r>
        <w:rPr>
          <w:rStyle w:val="13"/>
          <w:rFonts w:hint="eastAsia" w:ascii="仿宋" w:hAnsi="仿宋" w:eastAsia="仿宋"/>
          <w:b w:val="0"/>
          <w:bCs w:val="0"/>
        </w:rPr>
        <w:t>八、</w:t>
      </w:r>
      <w:r>
        <w:rPr>
          <w:rFonts w:hint="eastAsia" w:ascii="仿宋" w:hAnsi="仿宋" w:eastAsia="仿宋"/>
          <w:b w:val="0"/>
          <w:color w:val="000000"/>
        </w:rPr>
        <w:t>一</w:t>
      </w:r>
      <w:r>
        <w:rPr>
          <w:rStyle w:val="13"/>
          <w:rFonts w:hint="eastAsia" w:ascii="仿宋" w:hAnsi="仿宋" w:eastAsia="仿宋"/>
          <w:b w:val="0"/>
          <w:bCs w:val="0"/>
        </w:rPr>
        <w:t>般公共预算财政拨款基本支出决算表</w:t>
      </w:r>
      <w:bookmarkEnd w:id="23"/>
    </w:p>
    <w:p>
      <w:pPr>
        <w:pStyle w:val="3"/>
        <w:ind w:firstLine="320" w:firstLineChars="100"/>
        <w:rPr>
          <w:rFonts w:ascii="仿宋" w:hAnsi="仿宋" w:eastAsia="仿宋"/>
          <w:color w:val="000000"/>
        </w:rPr>
      </w:pPr>
      <w:bookmarkStart w:id="24" w:name="_Toc15396627"/>
      <w:r>
        <w:rPr>
          <w:rStyle w:val="13"/>
          <w:rFonts w:hint="eastAsia" w:ascii="仿宋" w:hAnsi="仿宋" w:eastAsia="仿宋"/>
          <w:b w:val="0"/>
          <w:bCs w:val="0"/>
        </w:rPr>
        <w:t>九、</w:t>
      </w:r>
      <w:r>
        <w:rPr>
          <w:rFonts w:hint="eastAsia" w:ascii="仿宋" w:hAnsi="仿宋" w:eastAsia="仿宋"/>
          <w:b w:val="0"/>
          <w:color w:val="000000"/>
        </w:rPr>
        <w:t>一</w:t>
      </w:r>
      <w:r>
        <w:rPr>
          <w:rStyle w:val="13"/>
          <w:rFonts w:hint="eastAsia" w:ascii="仿宋" w:hAnsi="仿宋" w:eastAsia="仿宋"/>
          <w:b w:val="0"/>
          <w:bCs w:val="0"/>
        </w:rPr>
        <w:t>般公共预算财政拨款项目支出决算表</w:t>
      </w:r>
      <w:bookmarkEnd w:id="24"/>
    </w:p>
    <w:p>
      <w:pPr>
        <w:pStyle w:val="3"/>
        <w:ind w:firstLine="320" w:firstLineChars="100"/>
        <w:rPr>
          <w:rFonts w:ascii="仿宋" w:hAnsi="仿宋" w:eastAsia="仿宋"/>
          <w:color w:val="000000"/>
        </w:rPr>
      </w:pPr>
      <w:bookmarkStart w:id="25" w:name="_Toc15396628"/>
      <w:r>
        <w:rPr>
          <w:rStyle w:val="13"/>
          <w:rFonts w:hint="eastAsia" w:ascii="仿宋" w:hAnsi="仿宋" w:eastAsia="仿宋"/>
          <w:b w:val="0"/>
          <w:bCs w:val="0"/>
        </w:rPr>
        <w:t>十、</w:t>
      </w:r>
      <w:r>
        <w:rPr>
          <w:rFonts w:hint="eastAsia" w:ascii="仿宋" w:hAnsi="仿宋" w:eastAsia="仿宋"/>
          <w:b w:val="0"/>
          <w:color w:val="000000"/>
        </w:rPr>
        <w:t>一</w:t>
      </w:r>
      <w:r>
        <w:rPr>
          <w:rStyle w:val="13"/>
          <w:rFonts w:hint="eastAsia" w:ascii="仿宋" w:hAnsi="仿宋" w:eastAsia="仿宋"/>
          <w:b w:val="0"/>
          <w:bCs w:val="0"/>
        </w:rPr>
        <w:t>般公共预算财政拨款“三公”经费支出决算表</w:t>
      </w:r>
      <w:bookmarkEnd w:id="25"/>
    </w:p>
    <w:p>
      <w:pPr>
        <w:pStyle w:val="3"/>
        <w:ind w:firstLine="320" w:firstLineChars="100"/>
        <w:rPr>
          <w:rFonts w:ascii="仿宋" w:hAnsi="仿宋" w:eastAsia="仿宋"/>
          <w:color w:val="000000"/>
        </w:rPr>
      </w:pPr>
      <w:bookmarkStart w:id="26" w:name="_Toc15396629"/>
      <w:r>
        <w:rPr>
          <w:rStyle w:val="13"/>
          <w:rFonts w:hint="eastAsia" w:ascii="仿宋" w:hAnsi="仿宋" w:eastAsia="仿宋"/>
          <w:b w:val="0"/>
          <w:bCs w:val="0"/>
        </w:rPr>
        <w:t>十一、</w:t>
      </w:r>
      <w:r>
        <w:rPr>
          <w:rFonts w:hint="eastAsia" w:ascii="仿宋" w:hAnsi="仿宋" w:eastAsia="仿宋"/>
          <w:b w:val="0"/>
          <w:color w:val="000000"/>
        </w:rPr>
        <w:t>政</w:t>
      </w:r>
      <w:r>
        <w:rPr>
          <w:rStyle w:val="13"/>
          <w:rFonts w:hint="eastAsia" w:ascii="仿宋" w:hAnsi="仿宋" w:eastAsia="仿宋"/>
          <w:b w:val="0"/>
          <w:bCs w:val="0"/>
        </w:rPr>
        <w:t>府性基金预算财政拨款收入支出决算表</w:t>
      </w:r>
      <w:bookmarkEnd w:id="26"/>
    </w:p>
    <w:p>
      <w:pPr>
        <w:pStyle w:val="3"/>
        <w:ind w:firstLine="320" w:firstLineChars="100"/>
        <w:rPr>
          <w:rFonts w:ascii="仿宋" w:hAnsi="仿宋" w:eastAsia="仿宋"/>
          <w:color w:val="000000"/>
        </w:rPr>
      </w:pPr>
      <w:bookmarkStart w:id="27" w:name="_Toc15396630"/>
      <w:r>
        <w:rPr>
          <w:rStyle w:val="13"/>
          <w:rFonts w:hint="eastAsia" w:ascii="仿宋" w:hAnsi="仿宋" w:eastAsia="仿宋"/>
          <w:b w:val="0"/>
          <w:bCs w:val="0"/>
        </w:rPr>
        <w:t>十二、</w:t>
      </w:r>
      <w:r>
        <w:rPr>
          <w:rFonts w:hint="eastAsia" w:ascii="仿宋" w:hAnsi="仿宋" w:eastAsia="仿宋"/>
          <w:b w:val="0"/>
          <w:color w:val="000000"/>
        </w:rPr>
        <w:t>政</w:t>
      </w:r>
      <w:r>
        <w:rPr>
          <w:rStyle w:val="13"/>
          <w:rFonts w:hint="eastAsia" w:ascii="仿宋" w:hAnsi="仿宋" w:eastAsia="仿宋"/>
          <w:b w:val="0"/>
          <w:bCs w:val="0"/>
        </w:rPr>
        <w:t>府性基金预算财政拨款“三公”经费支出决算表</w:t>
      </w:r>
      <w:bookmarkEnd w:id="27"/>
    </w:p>
    <w:p>
      <w:pPr>
        <w:pStyle w:val="3"/>
        <w:ind w:firstLine="320" w:firstLineChars="100"/>
      </w:pPr>
      <w:bookmarkStart w:id="28" w:name="_Toc15396631"/>
      <w:r>
        <w:rPr>
          <w:rStyle w:val="13"/>
          <w:rFonts w:hint="eastAsia" w:ascii="仿宋" w:hAnsi="仿宋" w:eastAsia="仿宋"/>
          <w:b w:val="0"/>
          <w:bCs w:val="0"/>
        </w:rPr>
        <w:t>十三、</w:t>
      </w:r>
      <w:r>
        <w:rPr>
          <w:rFonts w:hint="eastAsia" w:ascii="仿宋" w:hAnsi="仿宋" w:eastAsia="仿宋"/>
          <w:b w:val="0"/>
          <w:color w:val="000000"/>
        </w:rPr>
        <w:t>国</w:t>
      </w:r>
      <w:r>
        <w:rPr>
          <w:rStyle w:val="13"/>
          <w:rFonts w:hint="eastAsia" w:ascii="仿宋" w:hAnsi="仿宋" w:eastAsia="仿宋"/>
          <w:b w:val="0"/>
          <w:bCs w:val="0"/>
        </w:rPr>
        <w:t>有资本经营预算支出决算表</w:t>
      </w:r>
      <w:bookmarkEnd w:id="28"/>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FC928"/>
    <w:multiLevelType w:val="singleLevel"/>
    <w:tmpl w:val="C0FFC928"/>
    <w:lvl w:ilvl="0" w:tentative="0">
      <w:start w:val="3"/>
      <w:numFmt w:val="chineseCounting"/>
      <w:suff w:val="space"/>
      <w:lvlText w:val="第%1部分"/>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0A95"/>
    <w:rsid w:val="0DEE0BD8"/>
    <w:rsid w:val="0FC53EA7"/>
    <w:rsid w:val="17F26D3F"/>
    <w:rsid w:val="1A5A37E7"/>
    <w:rsid w:val="212F06B3"/>
    <w:rsid w:val="412A1833"/>
    <w:rsid w:val="6E822AF2"/>
    <w:rsid w:val="7D7F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character" w:styleId="11">
    <w:name w:val="Hyperlink"/>
    <w:basedOn w:val="10"/>
    <w:unhideWhenUsed/>
    <w:qFormat/>
    <w:uiPriority w:val="99"/>
    <w:rPr>
      <w:rFonts w:cs="Times New Roman"/>
      <w:color w:val="0000FF"/>
      <w:u w:val="single"/>
    </w:rPr>
  </w:style>
  <w:style w:type="paragraph" w:styleId="12">
    <w:name w:val="List Paragraph"/>
    <w:basedOn w:val="1"/>
    <w:qFormat/>
    <w:uiPriority w:val="34"/>
    <w:pPr>
      <w:ind w:firstLine="420" w:firstLineChars="200"/>
    </w:pPr>
  </w:style>
  <w:style w:type="character" w:customStyle="1" w:styleId="13">
    <w:name w:val="标题 2 Char"/>
    <w:basedOn w:val="10"/>
    <w:link w:val="3"/>
    <w:qFormat/>
    <w:uiPriority w:val="9"/>
    <w:rPr>
      <w:rFonts w:asciiTheme="majorHAnsi" w:hAnsiTheme="majorHAnsi" w:eastAsiaTheme="majorEastAsia" w:cstheme="majorBidi"/>
      <w:b/>
      <w:bCs/>
      <w:sz w:val="32"/>
      <w:szCs w:val="32"/>
    </w:rPr>
  </w:style>
  <w:style w:type="character" w:customStyle="1" w:styleId="14">
    <w:name w:val=" Char Char5"/>
    <w:basedOn w:val="10"/>
    <w:link w:val="3"/>
    <w:qFormat/>
    <w:locked/>
    <w:uiPriority w:val="9"/>
    <w:rPr>
      <w:rFonts w:ascii="Cambria" w:hAnsi="Cambria" w:eastAsia="宋体" w:cs="Times New Roman"/>
      <w:b/>
      <w:bCs/>
      <w:kern w:val="2"/>
      <w:sz w:val="32"/>
      <w:szCs w:val="32"/>
    </w:rPr>
  </w:style>
  <w:style w:type="character" w:customStyle="1" w:styleId="15">
    <w:name w:val="标题 1 Char"/>
    <w:basedOn w:val="10"/>
    <w:link w:val="2"/>
    <w:qFormat/>
    <w:uiPriority w:val="9"/>
    <w:rPr>
      <w:b/>
      <w:bCs/>
      <w:kern w:val="44"/>
      <w:sz w:val="44"/>
      <w:szCs w:val="44"/>
    </w:rPr>
  </w:style>
  <w:style w:type="paragraph" w:customStyle="1" w:styleId="1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7177</Words>
  <Characters>7798</Characters>
  <Lines>0</Lines>
  <Paragraphs>0</Paragraphs>
  <TotalTime>5</TotalTime>
  <ScaleCrop>false</ScaleCrop>
  <LinksUpToDate>false</LinksUpToDate>
  <CharactersWithSpaces>7843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2021-02-25T09:07:00Z</dcterms:created>
  <dc:creator>Administrator</dc:creator>
  <cp:lastModifiedBy>ˊStéhani .</cp:lastModifiedBy>
  <dcterms:modified xsi:type="dcterms:W3CDTF">2022-03-14T10:19:38Z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C79EDAF14C3B487AA73D5CE9C58CF6BA</vt:lpwstr>
  </property>
</Properties>
</file>